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9F" w:rsidRDefault="003C089F" w:rsidP="005A5599">
      <w:pPr>
        <w:spacing w:after="0" w:line="240" w:lineRule="auto"/>
        <w:jc w:val="center"/>
        <w:rPr>
          <w:rFonts w:ascii="Times New Roman" w:hAnsi="Times New Roman"/>
          <w:b/>
          <w:sz w:val="28"/>
          <w:szCs w:val="28"/>
        </w:rPr>
      </w:pPr>
      <w:r>
        <w:rPr>
          <w:rFonts w:ascii="Times New Roman" w:hAnsi="Times New Roman"/>
          <w:b/>
          <w:sz w:val="28"/>
          <w:szCs w:val="28"/>
        </w:rPr>
        <w:t xml:space="preserve">Инвестиционная активность </w:t>
      </w:r>
      <w:r w:rsidR="00C212DC">
        <w:rPr>
          <w:rFonts w:ascii="Times New Roman" w:hAnsi="Times New Roman"/>
          <w:b/>
          <w:sz w:val="28"/>
          <w:szCs w:val="28"/>
        </w:rPr>
        <w:t>Рубцовского района</w:t>
      </w:r>
    </w:p>
    <w:p w:rsidR="00C212DC" w:rsidRDefault="00C212DC" w:rsidP="00C212DC">
      <w:pPr>
        <w:spacing w:after="0" w:line="240" w:lineRule="auto"/>
        <w:jc w:val="center"/>
        <w:rPr>
          <w:rFonts w:ascii="Times New Roman" w:hAnsi="Times New Roman"/>
          <w:b/>
          <w:sz w:val="28"/>
          <w:szCs w:val="28"/>
        </w:rPr>
      </w:pPr>
      <w:r>
        <w:rPr>
          <w:rFonts w:ascii="Times New Roman" w:hAnsi="Times New Roman"/>
          <w:b/>
          <w:sz w:val="28"/>
          <w:szCs w:val="28"/>
        </w:rPr>
        <w:t>за 20</w:t>
      </w:r>
      <w:r w:rsidR="00D232D6">
        <w:rPr>
          <w:rFonts w:ascii="Times New Roman" w:hAnsi="Times New Roman"/>
          <w:b/>
          <w:sz w:val="28"/>
          <w:szCs w:val="28"/>
        </w:rPr>
        <w:t>2</w:t>
      </w:r>
      <w:r w:rsidR="00DD7141">
        <w:rPr>
          <w:rFonts w:ascii="Times New Roman" w:hAnsi="Times New Roman"/>
          <w:b/>
          <w:sz w:val="28"/>
          <w:szCs w:val="28"/>
        </w:rPr>
        <w:t>3</w:t>
      </w:r>
      <w:r w:rsidR="00E62A34">
        <w:rPr>
          <w:rFonts w:ascii="Times New Roman" w:hAnsi="Times New Roman"/>
          <w:b/>
          <w:sz w:val="28"/>
          <w:szCs w:val="28"/>
        </w:rPr>
        <w:t xml:space="preserve"> </w:t>
      </w:r>
      <w:r>
        <w:rPr>
          <w:rFonts w:ascii="Times New Roman" w:hAnsi="Times New Roman"/>
          <w:b/>
          <w:sz w:val="28"/>
          <w:szCs w:val="28"/>
        </w:rPr>
        <w:t>год</w:t>
      </w:r>
    </w:p>
    <w:p w:rsidR="00C212DC" w:rsidRDefault="00C212DC" w:rsidP="00AB090A">
      <w:pPr>
        <w:spacing w:after="0" w:line="240" w:lineRule="auto"/>
        <w:jc w:val="center"/>
        <w:rPr>
          <w:rFonts w:ascii="Times New Roman" w:hAnsi="Times New Roman"/>
          <w:b/>
          <w:sz w:val="28"/>
          <w:szCs w:val="28"/>
        </w:rPr>
      </w:pPr>
    </w:p>
    <w:p w:rsidR="00320610" w:rsidRPr="00055487" w:rsidRDefault="00320610" w:rsidP="00055487">
      <w:pPr>
        <w:spacing w:after="0" w:line="240" w:lineRule="auto"/>
        <w:ind w:firstLine="709"/>
        <w:jc w:val="both"/>
        <w:rPr>
          <w:rFonts w:ascii="Times New Roman" w:hAnsi="Times New Roman"/>
          <w:sz w:val="28"/>
          <w:szCs w:val="28"/>
        </w:rPr>
      </w:pPr>
      <w:r w:rsidRPr="00055487">
        <w:rPr>
          <w:rFonts w:ascii="Times New Roman" w:hAnsi="Times New Roman"/>
          <w:sz w:val="28"/>
          <w:szCs w:val="28"/>
        </w:rPr>
        <w:t>В экономику района   в течение 202</w:t>
      </w:r>
      <w:r w:rsidR="00DD7141">
        <w:rPr>
          <w:rFonts w:ascii="Times New Roman" w:hAnsi="Times New Roman"/>
          <w:sz w:val="28"/>
          <w:szCs w:val="28"/>
        </w:rPr>
        <w:t>3</w:t>
      </w:r>
      <w:r w:rsidRPr="00055487">
        <w:rPr>
          <w:rFonts w:ascii="Times New Roman" w:hAnsi="Times New Roman"/>
          <w:sz w:val="28"/>
          <w:szCs w:val="28"/>
        </w:rPr>
        <w:t xml:space="preserve"> года было привлечено инвестиций  на сумму </w:t>
      </w:r>
      <w:r w:rsidR="00D63BBB">
        <w:rPr>
          <w:rFonts w:ascii="Times New Roman" w:hAnsi="Times New Roman"/>
          <w:sz w:val="28"/>
          <w:szCs w:val="28"/>
        </w:rPr>
        <w:t>4</w:t>
      </w:r>
      <w:r w:rsidR="00DD7141">
        <w:rPr>
          <w:rFonts w:ascii="Times New Roman" w:hAnsi="Times New Roman"/>
          <w:sz w:val="28"/>
          <w:szCs w:val="28"/>
        </w:rPr>
        <w:t>539,4</w:t>
      </w:r>
      <w:r w:rsidRPr="00055487">
        <w:rPr>
          <w:rFonts w:ascii="Times New Roman" w:hAnsi="Times New Roman"/>
          <w:sz w:val="28"/>
          <w:szCs w:val="28"/>
        </w:rPr>
        <w:t xml:space="preserve"> млн. руб. Темп роста объема инвестиций составил </w:t>
      </w:r>
      <w:r w:rsidR="00DD7141">
        <w:rPr>
          <w:rFonts w:ascii="Times New Roman" w:hAnsi="Times New Roman"/>
          <w:sz w:val="28"/>
          <w:szCs w:val="28"/>
        </w:rPr>
        <w:t>144,6</w:t>
      </w:r>
      <w:r w:rsidRPr="00055487">
        <w:rPr>
          <w:rFonts w:ascii="Times New Roman" w:hAnsi="Times New Roman"/>
          <w:sz w:val="28"/>
          <w:szCs w:val="28"/>
        </w:rPr>
        <w:t xml:space="preserve"> %, индекс физического объема </w:t>
      </w:r>
      <w:r w:rsidR="00DD7141">
        <w:rPr>
          <w:rFonts w:ascii="Times New Roman" w:hAnsi="Times New Roman"/>
          <w:sz w:val="28"/>
          <w:szCs w:val="28"/>
        </w:rPr>
        <w:t>128,7</w:t>
      </w:r>
      <w:r w:rsidRPr="00055487">
        <w:rPr>
          <w:rFonts w:ascii="Times New Roman" w:hAnsi="Times New Roman"/>
          <w:sz w:val="28"/>
          <w:szCs w:val="28"/>
        </w:rPr>
        <w:t xml:space="preserve">%. Объем капитальных вложений на душу населения составил </w:t>
      </w:r>
      <w:r w:rsidR="00DD7141">
        <w:rPr>
          <w:rFonts w:ascii="Times New Roman" w:hAnsi="Times New Roman"/>
          <w:sz w:val="28"/>
          <w:szCs w:val="28"/>
        </w:rPr>
        <w:t>2</w:t>
      </w:r>
      <w:r w:rsidR="00D63BBB">
        <w:rPr>
          <w:rFonts w:ascii="Times New Roman" w:hAnsi="Times New Roman"/>
          <w:sz w:val="28"/>
          <w:szCs w:val="28"/>
        </w:rPr>
        <w:t>50</w:t>
      </w:r>
      <w:r w:rsidRPr="00055487">
        <w:rPr>
          <w:rFonts w:ascii="Times New Roman" w:hAnsi="Times New Roman"/>
          <w:sz w:val="28"/>
          <w:szCs w:val="28"/>
        </w:rPr>
        <w:t xml:space="preserve"> тысяч рублей. </w:t>
      </w:r>
    </w:p>
    <w:p w:rsidR="00320610" w:rsidRPr="00055487" w:rsidRDefault="00320610" w:rsidP="00055487">
      <w:pPr>
        <w:spacing w:after="0" w:line="240" w:lineRule="auto"/>
        <w:ind w:firstLine="709"/>
        <w:jc w:val="both"/>
        <w:rPr>
          <w:rFonts w:ascii="Times New Roman" w:hAnsi="Times New Roman"/>
          <w:sz w:val="28"/>
          <w:szCs w:val="28"/>
        </w:rPr>
      </w:pPr>
      <w:r w:rsidRPr="00055487">
        <w:rPr>
          <w:rFonts w:ascii="Times New Roman" w:hAnsi="Times New Roman"/>
          <w:sz w:val="28"/>
          <w:szCs w:val="28"/>
        </w:rPr>
        <w:t xml:space="preserve">По объему инвестиций в основной капитал </w:t>
      </w:r>
      <w:r w:rsidR="00055487" w:rsidRPr="00055487">
        <w:rPr>
          <w:rFonts w:ascii="Times New Roman" w:hAnsi="Times New Roman"/>
          <w:sz w:val="28"/>
          <w:szCs w:val="28"/>
        </w:rPr>
        <w:t xml:space="preserve"> на душу насе</w:t>
      </w:r>
      <w:r w:rsidRPr="00055487">
        <w:rPr>
          <w:rFonts w:ascii="Times New Roman" w:hAnsi="Times New Roman"/>
          <w:sz w:val="28"/>
          <w:szCs w:val="28"/>
        </w:rPr>
        <w:t xml:space="preserve">ления район занимает </w:t>
      </w:r>
      <w:r w:rsidR="00DD7141">
        <w:rPr>
          <w:rFonts w:ascii="Times New Roman" w:hAnsi="Times New Roman"/>
          <w:sz w:val="28"/>
          <w:szCs w:val="28"/>
        </w:rPr>
        <w:t>2</w:t>
      </w:r>
      <w:r w:rsidRPr="00055487">
        <w:rPr>
          <w:rFonts w:ascii="Times New Roman" w:hAnsi="Times New Roman"/>
          <w:sz w:val="28"/>
          <w:szCs w:val="28"/>
        </w:rPr>
        <w:t xml:space="preserve"> место в крае, по индексу физического объема инвестиций в основной капитал </w:t>
      </w:r>
      <w:r w:rsidR="00DD7141">
        <w:rPr>
          <w:rFonts w:ascii="Times New Roman" w:hAnsi="Times New Roman"/>
          <w:sz w:val="28"/>
          <w:szCs w:val="28"/>
        </w:rPr>
        <w:t>15</w:t>
      </w:r>
      <w:r w:rsidRPr="00055487">
        <w:rPr>
          <w:rFonts w:ascii="Times New Roman" w:hAnsi="Times New Roman"/>
          <w:sz w:val="28"/>
          <w:szCs w:val="28"/>
        </w:rPr>
        <w:t>.</w:t>
      </w:r>
    </w:p>
    <w:p w:rsidR="00360734" w:rsidRPr="00CA1011" w:rsidRDefault="00360734" w:rsidP="00CA1011">
      <w:pPr>
        <w:spacing w:after="0" w:line="240" w:lineRule="auto"/>
        <w:ind w:firstLine="709"/>
        <w:jc w:val="both"/>
        <w:rPr>
          <w:rFonts w:ascii="Times New Roman" w:hAnsi="Times New Roman"/>
          <w:sz w:val="28"/>
          <w:szCs w:val="28"/>
        </w:rPr>
      </w:pPr>
      <w:r w:rsidRPr="00CA1011">
        <w:rPr>
          <w:rFonts w:ascii="Times New Roman" w:hAnsi="Times New Roman"/>
          <w:sz w:val="28"/>
          <w:szCs w:val="28"/>
        </w:rPr>
        <w:t xml:space="preserve">Доля  внебюджетных  инвестиций  составила  </w:t>
      </w:r>
      <w:r w:rsidR="00C10627">
        <w:rPr>
          <w:rFonts w:ascii="Times New Roman" w:hAnsi="Times New Roman"/>
          <w:sz w:val="28"/>
          <w:szCs w:val="28"/>
        </w:rPr>
        <w:t>97,8</w:t>
      </w:r>
      <w:r w:rsidRPr="00CA1011">
        <w:rPr>
          <w:rFonts w:ascii="Times New Roman" w:hAnsi="Times New Roman"/>
          <w:sz w:val="28"/>
          <w:szCs w:val="28"/>
        </w:rPr>
        <w:t xml:space="preserve"> %, увеличившись </w:t>
      </w:r>
      <w:r w:rsidR="00BD7F2B">
        <w:rPr>
          <w:rFonts w:ascii="Times New Roman" w:hAnsi="Times New Roman"/>
          <w:sz w:val="28"/>
          <w:szCs w:val="28"/>
        </w:rPr>
        <w:t xml:space="preserve">на </w:t>
      </w:r>
      <w:r w:rsidRPr="00CA1011">
        <w:rPr>
          <w:rFonts w:ascii="Times New Roman" w:hAnsi="Times New Roman"/>
          <w:sz w:val="28"/>
          <w:szCs w:val="28"/>
        </w:rPr>
        <w:t xml:space="preserve"> </w:t>
      </w:r>
      <w:r w:rsidR="00C10627">
        <w:rPr>
          <w:rFonts w:ascii="Times New Roman" w:hAnsi="Times New Roman"/>
          <w:sz w:val="28"/>
          <w:szCs w:val="28"/>
        </w:rPr>
        <w:t>3,3</w:t>
      </w:r>
      <w:r w:rsidR="00AB4993">
        <w:rPr>
          <w:rFonts w:ascii="Times New Roman" w:hAnsi="Times New Roman"/>
          <w:sz w:val="28"/>
          <w:szCs w:val="28"/>
        </w:rPr>
        <w:t xml:space="preserve"> </w:t>
      </w:r>
      <w:proofErr w:type="spellStart"/>
      <w:r w:rsidR="00BD7F2B">
        <w:rPr>
          <w:rFonts w:ascii="Times New Roman" w:hAnsi="Times New Roman"/>
          <w:sz w:val="28"/>
          <w:szCs w:val="28"/>
        </w:rPr>
        <w:t>п</w:t>
      </w:r>
      <w:proofErr w:type="gramStart"/>
      <w:r w:rsidR="00BD7F2B">
        <w:rPr>
          <w:rFonts w:ascii="Times New Roman" w:hAnsi="Times New Roman"/>
          <w:sz w:val="28"/>
          <w:szCs w:val="28"/>
        </w:rPr>
        <w:t>.п</w:t>
      </w:r>
      <w:proofErr w:type="spellEnd"/>
      <w:proofErr w:type="gramEnd"/>
      <w:r w:rsidR="00BD7F2B">
        <w:rPr>
          <w:rFonts w:ascii="Times New Roman" w:hAnsi="Times New Roman"/>
          <w:sz w:val="28"/>
          <w:szCs w:val="28"/>
        </w:rPr>
        <w:t xml:space="preserve"> </w:t>
      </w:r>
      <w:r w:rsidRPr="00CA1011">
        <w:rPr>
          <w:rFonts w:ascii="Times New Roman" w:hAnsi="Times New Roman"/>
          <w:sz w:val="28"/>
          <w:szCs w:val="28"/>
        </w:rPr>
        <w:t>к январю-декабрю 202</w:t>
      </w:r>
      <w:r w:rsidR="00C10627">
        <w:rPr>
          <w:rFonts w:ascii="Times New Roman" w:hAnsi="Times New Roman"/>
          <w:sz w:val="28"/>
          <w:szCs w:val="28"/>
        </w:rPr>
        <w:t>2</w:t>
      </w:r>
      <w:r w:rsidRPr="00CA1011">
        <w:rPr>
          <w:rFonts w:ascii="Times New Roman" w:hAnsi="Times New Roman"/>
          <w:sz w:val="28"/>
          <w:szCs w:val="28"/>
        </w:rPr>
        <w:t xml:space="preserve"> года.  </w:t>
      </w:r>
    </w:p>
    <w:p w:rsidR="00CA1011" w:rsidRDefault="00CA1011" w:rsidP="00CA1011">
      <w:pPr>
        <w:spacing w:after="0" w:line="240" w:lineRule="auto"/>
        <w:ind w:firstLine="709"/>
        <w:jc w:val="both"/>
        <w:rPr>
          <w:rFonts w:ascii="Times New Roman" w:hAnsi="Times New Roman"/>
          <w:sz w:val="28"/>
          <w:szCs w:val="28"/>
        </w:rPr>
      </w:pPr>
      <w:r w:rsidRPr="00CA1011">
        <w:rPr>
          <w:rFonts w:ascii="Times New Roman" w:hAnsi="Times New Roman"/>
          <w:sz w:val="28"/>
          <w:szCs w:val="28"/>
        </w:rPr>
        <w:t xml:space="preserve">По  источникам  финансирования  инвестиций  в  основной  капитал  в отчетном  периоде  на  долю  собственных  средств  организаций  приходилось </w:t>
      </w:r>
      <w:r w:rsidR="00C10627">
        <w:rPr>
          <w:rFonts w:ascii="Times New Roman" w:hAnsi="Times New Roman"/>
          <w:sz w:val="28"/>
          <w:szCs w:val="28"/>
        </w:rPr>
        <w:t>33,6</w:t>
      </w:r>
      <w:r w:rsidRPr="00CA1011">
        <w:rPr>
          <w:rFonts w:ascii="Times New Roman" w:hAnsi="Times New Roman"/>
          <w:sz w:val="28"/>
          <w:szCs w:val="28"/>
        </w:rPr>
        <w:t xml:space="preserve"> %, доля привлеченных средств составила </w:t>
      </w:r>
      <w:r w:rsidR="00C10627">
        <w:rPr>
          <w:rFonts w:ascii="Times New Roman" w:hAnsi="Times New Roman"/>
          <w:sz w:val="28"/>
          <w:szCs w:val="28"/>
        </w:rPr>
        <w:t>66,4</w:t>
      </w:r>
      <w:r w:rsidRPr="00CA1011">
        <w:rPr>
          <w:rFonts w:ascii="Times New Roman" w:hAnsi="Times New Roman"/>
          <w:sz w:val="28"/>
          <w:szCs w:val="28"/>
        </w:rPr>
        <w:t xml:space="preserve"> %.  </w:t>
      </w:r>
    </w:p>
    <w:p w:rsidR="00BC6E8A" w:rsidRDefault="00BC6E8A" w:rsidP="00643DBB">
      <w:pPr>
        <w:spacing w:after="0" w:line="240" w:lineRule="auto"/>
        <w:ind w:firstLine="709"/>
        <w:jc w:val="right"/>
        <w:rPr>
          <w:rFonts w:ascii="Times New Roman" w:hAnsi="Times New Roman"/>
          <w:sz w:val="24"/>
          <w:szCs w:val="24"/>
        </w:rPr>
      </w:pPr>
    </w:p>
    <w:p w:rsidR="00607E8E" w:rsidRPr="00643DBB" w:rsidRDefault="00643DBB" w:rsidP="00643DBB">
      <w:pPr>
        <w:spacing w:after="0" w:line="240" w:lineRule="auto"/>
        <w:ind w:firstLine="709"/>
        <w:jc w:val="right"/>
        <w:rPr>
          <w:rFonts w:ascii="Times New Roman" w:hAnsi="Times New Roman"/>
          <w:sz w:val="24"/>
          <w:szCs w:val="24"/>
        </w:rPr>
      </w:pPr>
      <w:r w:rsidRPr="00643DBB">
        <w:rPr>
          <w:rFonts w:ascii="Times New Roman" w:hAnsi="Times New Roman"/>
          <w:sz w:val="24"/>
          <w:szCs w:val="24"/>
        </w:rPr>
        <w:t>Рисунок 1</w:t>
      </w:r>
    </w:p>
    <w:p w:rsidR="00607E8E" w:rsidRPr="00C60149" w:rsidRDefault="00607E8E" w:rsidP="00607E8E">
      <w:pPr>
        <w:ind w:firstLine="708"/>
        <w:jc w:val="center"/>
        <w:rPr>
          <w:rFonts w:ascii="Times New Roman" w:hAnsi="Times New Roman"/>
          <w:i/>
          <w:sz w:val="28"/>
          <w:szCs w:val="28"/>
        </w:rPr>
      </w:pPr>
      <w:r w:rsidRPr="00C60149">
        <w:rPr>
          <w:rFonts w:ascii="Times New Roman" w:hAnsi="Times New Roman"/>
          <w:i/>
          <w:sz w:val="28"/>
          <w:szCs w:val="28"/>
        </w:rPr>
        <w:t>Структура источников финансирования инвестиций крупных и средних предприятий, %</w:t>
      </w:r>
    </w:p>
    <w:p w:rsidR="00607E8E" w:rsidRPr="00BF2676" w:rsidRDefault="00607E8E" w:rsidP="00320610">
      <w:pPr>
        <w:ind w:firstLine="708"/>
        <w:jc w:val="both"/>
        <w:rPr>
          <w:b/>
          <w:sz w:val="28"/>
          <w:szCs w:val="28"/>
        </w:rPr>
      </w:pPr>
      <w:r w:rsidRPr="00BF2676">
        <w:rPr>
          <w:b/>
          <w:noProof/>
          <w:sz w:val="28"/>
          <w:szCs w:val="28"/>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34CC4" w:rsidRDefault="00034CC4" w:rsidP="00952687">
      <w:pPr>
        <w:spacing w:after="0" w:line="240" w:lineRule="auto"/>
        <w:ind w:firstLine="709"/>
        <w:jc w:val="both"/>
        <w:rPr>
          <w:rFonts w:ascii="Times New Roman" w:hAnsi="Times New Roman"/>
          <w:sz w:val="28"/>
          <w:szCs w:val="28"/>
        </w:rPr>
      </w:pPr>
    </w:p>
    <w:p w:rsidR="00952687" w:rsidRPr="00952687" w:rsidRDefault="00952687" w:rsidP="00952687">
      <w:pPr>
        <w:spacing w:after="0" w:line="240" w:lineRule="auto"/>
        <w:ind w:firstLine="709"/>
        <w:jc w:val="both"/>
        <w:rPr>
          <w:rFonts w:ascii="Times New Roman" w:hAnsi="Times New Roman"/>
          <w:sz w:val="28"/>
          <w:szCs w:val="28"/>
        </w:rPr>
      </w:pPr>
      <w:r w:rsidRPr="00952687">
        <w:rPr>
          <w:rFonts w:ascii="Times New Roman" w:hAnsi="Times New Roman"/>
          <w:sz w:val="28"/>
          <w:szCs w:val="28"/>
        </w:rPr>
        <w:t xml:space="preserve">Средства бюджетов  всех  уровней  составили  всего </w:t>
      </w:r>
      <w:r w:rsidR="006C3155">
        <w:rPr>
          <w:rFonts w:ascii="Times New Roman" w:hAnsi="Times New Roman"/>
          <w:sz w:val="28"/>
          <w:szCs w:val="28"/>
        </w:rPr>
        <w:t>2,2</w:t>
      </w:r>
      <w:r w:rsidRPr="00952687">
        <w:rPr>
          <w:rFonts w:ascii="Times New Roman" w:hAnsi="Times New Roman"/>
          <w:sz w:val="28"/>
          <w:szCs w:val="28"/>
        </w:rPr>
        <w:t xml:space="preserve">%  от общего объема привлеченных  инвестиций.  По  сравнению  с  аналогичным  периодом прошлого  года  снизились  доли  всех уровней бюджета на </w:t>
      </w:r>
      <w:r w:rsidR="006C3155">
        <w:rPr>
          <w:rFonts w:ascii="Times New Roman" w:hAnsi="Times New Roman"/>
          <w:sz w:val="28"/>
          <w:szCs w:val="28"/>
        </w:rPr>
        <w:t>3,3</w:t>
      </w:r>
      <w:r w:rsidR="00170025">
        <w:rPr>
          <w:rFonts w:ascii="Times New Roman" w:hAnsi="Times New Roman"/>
          <w:sz w:val="28"/>
          <w:szCs w:val="28"/>
        </w:rPr>
        <w:t xml:space="preserve"> </w:t>
      </w:r>
      <w:r w:rsidRPr="00952687">
        <w:rPr>
          <w:rFonts w:ascii="Times New Roman" w:hAnsi="Times New Roman"/>
          <w:sz w:val="28"/>
          <w:szCs w:val="28"/>
        </w:rPr>
        <w:t>п.п.</w:t>
      </w:r>
    </w:p>
    <w:p w:rsidR="00034CC4" w:rsidRPr="00034CC4" w:rsidRDefault="00034CC4" w:rsidP="00034CC4">
      <w:pPr>
        <w:pStyle w:val="a5"/>
        <w:ind w:firstLine="708"/>
        <w:jc w:val="both"/>
        <w:rPr>
          <w:rFonts w:ascii="Times New Roman" w:hAnsi="Times New Roman"/>
          <w:sz w:val="28"/>
          <w:szCs w:val="28"/>
        </w:rPr>
      </w:pPr>
      <w:r w:rsidRPr="00034CC4">
        <w:rPr>
          <w:rFonts w:ascii="Times New Roman" w:hAnsi="Times New Roman"/>
          <w:sz w:val="28"/>
          <w:szCs w:val="28"/>
        </w:rPr>
        <w:t xml:space="preserve">Основные </w:t>
      </w:r>
      <w:r w:rsidRPr="00034CC4">
        <w:rPr>
          <w:rFonts w:ascii="Times New Roman" w:hAnsi="Times New Roman"/>
          <w:color w:val="FF0000"/>
          <w:sz w:val="28"/>
          <w:szCs w:val="28"/>
        </w:rPr>
        <w:t xml:space="preserve"> </w:t>
      </w:r>
      <w:r w:rsidRPr="00034CC4">
        <w:rPr>
          <w:rFonts w:ascii="Times New Roman" w:hAnsi="Times New Roman"/>
          <w:sz w:val="28"/>
          <w:szCs w:val="28"/>
        </w:rPr>
        <w:t xml:space="preserve">инвестиционные  вложения </w:t>
      </w:r>
      <w:r w:rsidR="00223DA5">
        <w:rPr>
          <w:rFonts w:ascii="Times New Roman" w:hAnsi="Times New Roman"/>
          <w:sz w:val="28"/>
          <w:szCs w:val="28"/>
        </w:rPr>
        <w:t>(9</w:t>
      </w:r>
      <w:r w:rsidR="00196EBD">
        <w:rPr>
          <w:rFonts w:ascii="Times New Roman" w:hAnsi="Times New Roman"/>
          <w:sz w:val="28"/>
          <w:szCs w:val="28"/>
        </w:rPr>
        <w:t xml:space="preserve">6%) </w:t>
      </w:r>
      <w:r w:rsidRPr="00034CC4">
        <w:rPr>
          <w:rFonts w:ascii="Times New Roman" w:hAnsi="Times New Roman"/>
          <w:sz w:val="28"/>
          <w:szCs w:val="28"/>
        </w:rPr>
        <w:t xml:space="preserve">направлены  в развитие предприятий </w:t>
      </w:r>
      <w:r>
        <w:rPr>
          <w:rFonts w:ascii="Times New Roman" w:hAnsi="Times New Roman"/>
          <w:sz w:val="28"/>
          <w:szCs w:val="28"/>
        </w:rPr>
        <w:t xml:space="preserve">добывающей </w:t>
      </w:r>
      <w:r w:rsidRPr="00034CC4">
        <w:rPr>
          <w:rFonts w:ascii="Times New Roman" w:hAnsi="Times New Roman"/>
          <w:sz w:val="28"/>
          <w:szCs w:val="28"/>
        </w:rPr>
        <w:t xml:space="preserve"> промышленности</w:t>
      </w:r>
      <w:r w:rsidR="00196EBD">
        <w:rPr>
          <w:rFonts w:ascii="Times New Roman" w:hAnsi="Times New Roman"/>
          <w:sz w:val="28"/>
          <w:szCs w:val="28"/>
        </w:rPr>
        <w:t>, незначительная доля вложений приходится на сельское хозяйство(</w:t>
      </w:r>
      <w:r w:rsidR="00223DA5">
        <w:rPr>
          <w:rFonts w:ascii="Times New Roman" w:hAnsi="Times New Roman"/>
          <w:sz w:val="28"/>
          <w:szCs w:val="28"/>
        </w:rPr>
        <w:t>0</w:t>
      </w:r>
      <w:r w:rsidR="00196EBD">
        <w:rPr>
          <w:rFonts w:ascii="Times New Roman" w:hAnsi="Times New Roman"/>
          <w:sz w:val="28"/>
          <w:szCs w:val="28"/>
        </w:rPr>
        <w:t>,</w:t>
      </w:r>
      <w:r w:rsidR="00666170">
        <w:rPr>
          <w:rFonts w:ascii="Times New Roman" w:hAnsi="Times New Roman"/>
          <w:sz w:val="28"/>
          <w:szCs w:val="28"/>
        </w:rPr>
        <w:t>9</w:t>
      </w:r>
      <w:r w:rsidR="00196EBD">
        <w:rPr>
          <w:rFonts w:ascii="Times New Roman" w:hAnsi="Times New Roman"/>
          <w:sz w:val="28"/>
          <w:szCs w:val="28"/>
        </w:rPr>
        <w:t xml:space="preserve">%),  </w:t>
      </w:r>
      <w:r w:rsidR="00196EBD" w:rsidRPr="00196EBD">
        <w:rPr>
          <w:rFonts w:ascii="Times New Roman" w:hAnsi="Times New Roman"/>
          <w:sz w:val="28"/>
          <w:szCs w:val="28"/>
        </w:rPr>
        <w:t>обеспечение эл</w:t>
      </w:r>
      <w:r w:rsidR="00196EBD">
        <w:rPr>
          <w:rFonts w:ascii="Times New Roman" w:hAnsi="Times New Roman"/>
          <w:sz w:val="28"/>
          <w:szCs w:val="28"/>
        </w:rPr>
        <w:t>ектро</w:t>
      </w:r>
      <w:r w:rsidR="00196EBD" w:rsidRPr="00196EBD">
        <w:rPr>
          <w:rFonts w:ascii="Times New Roman" w:hAnsi="Times New Roman"/>
          <w:sz w:val="28"/>
          <w:szCs w:val="28"/>
        </w:rPr>
        <w:t>энергией, газом, паром</w:t>
      </w:r>
      <w:r w:rsidR="00196EBD">
        <w:rPr>
          <w:rFonts w:ascii="Times New Roman" w:hAnsi="Times New Roman"/>
          <w:sz w:val="28"/>
          <w:szCs w:val="28"/>
        </w:rPr>
        <w:t xml:space="preserve"> </w:t>
      </w:r>
      <w:r w:rsidR="00BC6E8A">
        <w:rPr>
          <w:rFonts w:ascii="Times New Roman" w:hAnsi="Times New Roman"/>
          <w:sz w:val="28"/>
          <w:szCs w:val="28"/>
        </w:rPr>
        <w:t xml:space="preserve">(1,2%) </w:t>
      </w:r>
      <w:r w:rsidR="00196EBD">
        <w:rPr>
          <w:rFonts w:ascii="Times New Roman" w:hAnsi="Times New Roman"/>
          <w:sz w:val="28"/>
          <w:szCs w:val="28"/>
        </w:rPr>
        <w:t>и прочие виды экономической деятельности</w:t>
      </w:r>
      <w:r w:rsidR="00BC6E8A">
        <w:rPr>
          <w:rFonts w:ascii="Times New Roman" w:hAnsi="Times New Roman"/>
          <w:sz w:val="28"/>
          <w:szCs w:val="28"/>
        </w:rPr>
        <w:t xml:space="preserve"> (1</w:t>
      </w:r>
      <w:r w:rsidR="00666170">
        <w:rPr>
          <w:rFonts w:ascii="Times New Roman" w:hAnsi="Times New Roman"/>
          <w:sz w:val="28"/>
          <w:szCs w:val="28"/>
        </w:rPr>
        <w:t>0,9</w:t>
      </w:r>
      <w:r w:rsidR="00BC6E8A">
        <w:rPr>
          <w:rFonts w:ascii="Times New Roman" w:hAnsi="Times New Roman"/>
          <w:sz w:val="28"/>
          <w:szCs w:val="28"/>
        </w:rPr>
        <w:t>%)</w:t>
      </w:r>
      <w:r w:rsidR="00196EBD">
        <w:rPr>
          <w:rFonts w:ascii="Times New Roman" w:hAnsi="Times New Roman"/>
          <w:sz w:val="28"/>
          <w:szCs w:val="28"/>
        </w:rPr>
        <w:t>.</w:t>
      </w:r>
    </w:p>
    <w:p w:rsidR="00034CC4" w:rsidRPr="00427402" w:rsidRDefault="00034CC4" w:rsidP="00427402">
      <w:pPr>
        <w:spacing w:after="0" w:line="240" w:lineRule="auto"/>
        <w:ind w:firstLine="709"/>
        <w:jc w:val="both"/>
        <w:rPr>
          <w:rFonts w:ascii="Times New Roman" w:hAnsi="Times New Roman"/>
          <w:sz w:val="28"/>
          <w:szCs w:val="28"/>
        </w:rPr>
      </w:pPr>
    </w:p>
    <w:p w:rsidR="00643DBB" w:rsidRPr="00643DBB" w:rsidRDefault="00643DBB" w:rsidP="00643DBB">
      <w:pPr>
        <w:ind w:firstLine="708"/>
        <w:jc w:val="right"/>
        <w:rPr>
          <w:rFonts w:ascii="Times New Roman" w:hAnsi="Times New Roman"/>
          <w:sz w:val="24"/>
          <w:szCs w:val="24"/>
        </w:rPr>
      </w:pPr>
      <w:r w:rsidRPr="00643DBB">
        <w:rPr>
          <w:rFonts w:ascii="Times New Roman" w:hAnsi="Times New Roman"/>
          <w:sz w:val="24"/>
          <w:szCs w:val="24"/>
        </w:rPr>
        <w:lastRenderedPageBreak/>
        <w:t>Рисунок 2</w:t>
      </w:r>
    </w:p>
    <w:p w:rsidR="00643DBB" w:rsidRDefault="00643DBB" w:rsidP="00320610">
      <w:pPr>
        <w:ind w:firstLine="708"/>
        <w:jc w:val="both"/>
        <w:rPr>
          <w:sz w:val="28"/>
          <w:szCs w:val="28"/>
        </w:rPr>
      </w:pPr>
      <w:r>
        <w:rPr>
          <w:noProof/>
          <w:sz w:val="28"/>
          <w:szCs w:val="28"/>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34CC4" w:rsidRDefault="00034CC4" w:rsidP="00BF2676">
      <w:pPr>
        <w:spacing w:after="0" w:line="240" w:lineRule="auto"/>
        <w:ind w:firstLine="708"/>
        <w:jc w:val="both"/>
        <w:rPr>
          <w:rFonts w:ascii="Times New Roman" w:hAnsi="Times New Roman"/>
          <w:sz w:val="28"/>
          <w:szCs w:val="28"/>
        </w:rPr>
      </w:pPr>
    </w:p>
    <w:p w:rsidR="0043156A" w:rsidRPr="0043156A" w:rsidRDefault="0043156A" w:rsidP="00BF2676">
      <w:pPr>
        <w:spacing w:after="0" w:line="240" w:lineRule="auto"/>
        <w:ind w:firstLine="708"/>
        <w:jc w:val="both"/>
        <w:rPr>
          <w:rFonts w:ascii="Times New Roman" w:hAnsi="Times New Roman"/>
          <w:sz w:val="28"/>
          <w:szCs w:val="28"/>
        </w:rPr>
      </w:pPr>
      <w:r w:rsidRPr="0043156A">
        <w:rPr>
          <w:rFonts w:ascii="Times New Roman" w:hAnsi="Times New Roman"/>
          <w:sz w:val="28"/>
          <w:szCs w:val="28"/>
        </w:rPr>
        <w:t xml:space="preserve">Распределение финансовых вложений по направлениям в соответствии </w:t>
      </w:r>
    </w:p>
    <w:p w:rsidR="0043156A" w:rsidRPr="0043156A" w:rsidRDefault="0043156A" w:rsidP="0043156A">
      <w:pPr>
        <w:spacing w:after="0" w:line="240" w:lineRule="auto"/>
        <w:jc w:val="both"/>
        <w:rPr>
          <w:rFonts w:ascii="Times New Roman" w:hAnsi="Times New Roman"/>
          <w:sz w:val="28"/>
          <w:szCs w:val="28"/>
        </w:rPr>
      </w:pPr>
      <w:r w:rsidRPr="0043156A">
        <w:rPr>
          <w:rFonts w:ascii="Times New Roman" w:hAnsi="Times New Roman"/>
          <w:sz w:val="28"/>
          <w:szCs w:val="28"/>
        </w:rPr>
        <w:t xml:space="preserve">с  классификацией  основных  фондов  представлено  на  рисунке  </w:t>
      </w:r>
      <w:r>
        <w:rPr>
          <w:rFonts w:ascii="Times New Roman" w:hAnsi="Times New Roman"/>
          <w:sz w:val="28"/>
          <w:szCs w:val="28"/>
        </w:rPr>
        <w:t>3</w:t>
      </w:r>
      <w:r w:rsidRPr="0043156A">
        <w:rPr>
          <w:rFonts w:ascii="Times New Roman" w:hAnsi="Times New Roman"/>
          <w:sz w:val="28"/>
          <w:szCs w:val="28"/>
        </w:rPr>
        <w:t xml:space="preserve">.  Так,  на </w:t>
      </w:r>
    </w:p>
    <w:p w:rsidR="0043156A" w:rsidRPr="0043156A" w:rsidRDefault="0043156A" w:rsidP="0043156A">
      <w:pPr>
        <w:spacing w:after="0" w:line="240" w:lineRule="auto"/>
        <w:jc w:val="both"/>
        <w:rPr>
          <w:rFonts w:ascii="Times New Roman" w:hAnsi="Times New Roman"/>
          <w:sz w:val="28"/>
          <w:szCs w:val="28"/>
        </w:rPr>
      </w:pPr>
      <w:r w:rsidRPr="0043156A">
        <w:rPr>
          <w:rFonts w:ascii="Times New Roman" w:hAnsi="Times New Roman"/>
          <w:sz w:val="28"/>
          <w:szCs w:val="28"/>
        </w:rPr>
        <w:t>приобретение активной части основных фондов – машин и оборудовани</w:t>
      </w:r>
      <w:r w:rsidR="00170025">
        <w:rPr>
          <w:rFonts w:ascii="Times New Roman" w:hAnsi="Times New Roman"/>
          <w:sz w:val="28"/>
          <w:szCs w:val="28"/>
        </w:rPr>
        <w:t>я</w:t>
      </w:r>
      <w:r w:rsidRPr="0043156A">
        <w:rPr>
          <w:rFonts w:ascii="Times New Roman" w:hAnsi="Times New Roman"/>
          <w:sz w:val="28"/>
          <w:szCs w:val="28"/>
        </w:rPr>
        <w:t xml:space="preserve"> </w:t>
      </w:r>
    </w:p>
    <w:p w:rsidR="008C3F74" w:rsidRDefault="0043156A" w:rsidP="0043156A">
      <w:pPr>
        <w:spacing w:after="0" w:line="240" w:lineRule="auto"/>
        <w:jc w:val="both"/>
        <w:rPr>
          <w:rFonts w:ascii="Times New Roman" w:hAnsi="Times New Roman"/>
          <w:sz w:val="28"/>
          <w:szCs w:val="28"/>
        </w:rPr>
      </w:pPr>
      <w:r w:rsidRPr="0043156A">
        <w:rPr>
          <w:rFonts w:ascii="Times New Roman" w:hAnsi="Times New Roman"/>
          <w:sz w:val="28"/>
          <w:szCs w:val="28"/>
        </w:rPr>
        <w:t xml:space="preserve">направлено  </w:t>
      </w:r>
      <w:r w:rsidR="00D31A93">
        <w:rPr>
          <w:rFonts w:ascii="Times New Roman" w:hAnsi="Times New Roman"/>
          <w:sz w:val="28"/>
          <w:szCs w:val="28"/>
        </w:rPr>
        <w:t>12,7 %  всех  инвестиций</w:t>
      </w:r>
      <w:r w:rsidRPr="0043156A">
        <w:rPr>
          <w:rFonts w:ascii="Times New Roman" w:hAnsi="Times New Roman"/>
          <w:sz w:val="28"/>
          <w:szCs w:val="28"/>
        </w:rPr>
        <w:t xml:space="preserve">,  на  строительство зданий (кроме жилых), сооружений и расходов на улучшение земель – </w:t>
      </w:r>
      <w:r w:rsidR="00D31A93">
        <w:rPr>
          <w:rFonts w:ascii="Times New Roman" w:hAnsi="Times New Roman"/>
          <w:sz w:val="28"/>
          <w:szCs w:val="28"/>
        </w:rPr>
        <w:t>79</w:t>
      </w:r>
      <w:r w:rsidRPr="0043156A">
        <w:rPr>
          <w:rFonts w:ascii="Times New Roman" w:hAnsi="Times New Roman"/>
          <w:sz w:val="28"/>
          <w:szCs w:val="28"/>
        </w:rPr>
        <w:t xml:space="preserve"> %,  </w:t>
      </w:r>
      <w:r>
        <w:rPr>
          <w:rFonts w:ascii="Times New Roman" w:hAnsi="Times New Roman"/>
          <w:sz w:val="28"/>
          <w:szCs w:val="28"/>
        </w:rPr>
        <w:t xml:space="preserve">транспортные средства </w:t>
      </w:r>
      <w:r w:rsidRPr="0043156A">
        <w:rPr>
          <w:rFonts w:ascii="Times New Roman" w:hAnsi="Times New Roman"/>
          <w:sz w:val="28"/>
          <w:szCs w:val="28"/>
        </w:rPr>
        <w:t xml:space="preserve"> – </w:t>
      </w:r>
      <w:r w:rsidR="008C3F74">
        <w:rPr>
          <w:rFonts w:ascii="Times New Roman" w:hAnsi="Times New Roman"/>
          <w:sz w:val="28"/>
          <w:szCs w:val="28"/>
        </w:rPr>
        <w:t>3</w:t>
      </w:r>
      <w:r w:rsidRPr="0043156A">
        <w:rPr>
          <w:rFonts w:ascii="Times New Roman" w:hAnsi="Times New Roman"/>
          <w:sz w:val="28"/>
          <w:szCs w:val="28"/>
        </w:rPr>
        <w:t>,</w:t>
      </w:r>
      <w:r w:rsidR="00D31A93">
        <w:rPr>
          <w:rFonts w:ascii="Times New Roman" w:hAnsi="Times New Roman"/>
          <w:sz w:val="28"/>
          <w:szCs w:val="28"/>
        </w:rPr>
        <w:t>9 %</w:t>
      </w:r>
      <w:r w:rsidR="008C3F74">
        <w:rPr>
          <w:rFonts w:ascii="Times New Roman" w:hAnsi="Times New Roman"/>
          <w:sz w:val="28"/>
          <w:szCs w:val="28"/>
        </w:rPr>
        <w:t xml:space="preserve">, прочие </w:t>
      </w:r>
      <w:r w:rsidR="00D31A93">
        <w:rPr>
          <w:rFonts w:ascii="Times New Roman" w:hAnsi="Times New Roman"/>
          <w:sz w:val="28"/>
          <w:szCs w:val="28"/>
        </w:rPr>
        <w:t>4,4</w:t>
      </w:r>
      <w:r w:rsidR="008C3F74">
        <w:rPr>
          <w:rFonts w:ascii="Times New Roman" w:hAnsi="Times New Roman"/>
          <w:sz w:val="28"/>
          <w:szCs w:val="28"/>
        </w:rPr>
        <w:t>%.</w:t>
      </w:r>
    </w:p>
    <w:p w:rsidR="008C3F74" w:rsidRDefault="008C3F74" w:rsidP="008C3F74">
      <w:pPr>
        <w:ind w:firstLine="708"/>
        <w:jc w:val="right"/>
        <w:rPr>
          <w:rFonts w:ascii="Times New Roman" w:hAnsi="Times New Roman"/>
          <w:sz w:val="28"/>
          <w:szCs w:val="28"/>
        </w:rPr>
      </w:pPr>
      <w:r w:rsidRPr="00643DBB">
        <w:rPr>
          <w:rFonts w:ascii="Times New Roman" w:hAnsi="Times New Roman"/>
          <w:sz w:val="24"/>
          <w:szCs w:val="24"/>
        </w:rPr>
        <w:t>Рисунок</w:t>
      </w:r>
      <w:r>
        <w:rPr>
          <w:rFonts w:ascii="Times New Roman" w:hAnsi="Times New Roman"/>
          <w:sz w:val="24"/>
          <w:szCs w:val="24"/>
        </w:rPr>
        <w:t>3</w:t>
      </w:r>
    </w:p>
    <w:p w:rsidR="008C3F74" w:rsidRPr="0043156A" w:rsidRDefault="008C3F74" w:rsidP="0043156A">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5410200" cy="31432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E0894" w:rsidRPr="00245D87" w:rsidRDefault="0043156A" w:rsidP="0043156A">
      <w:pPr>
        <w:spacing w:after="0" w:line="240" w:lineRule="auto"/>
        <w:jc w:val="both"/>
        <w:rPr>
          <w:rFonts w:ascii="Times New Roman" w:hAnsi="Times New Roman"/>
          <w:sz w:val="28"/>
          <w:szCs w:val="28"/>
        </w:rPr>
      </w:pPr>
      <w:r w:rsidRPr="0043156A">
        <w:rPr>
          <w:rFonts w:ascii="Times New Roman" w:hAnsi="Times New Roman"/>
          <w:sz w:val="28"/>
          <w:szCs w:val="28"/>
        </w:rPr>
        <w:t xml:space="preserve"> </w:t>
      </w:r>
      <w:r w:rsidRPr="0043156A">
        <w:rPr>
          <w:rFonts w:ascii="Times New Roman" w:hAnsi="Times New Roman"/>
          <w:sz w:val="28"/>
          <w:szCs w:val="28"/>
        </w:rPr>
        <w:cr/>
      </w:r>
    </w:p>
    <w:p w:rsidR="008E03F7" w:rsidRPr="0039105C" w:rsidRDefault="008E03F7" w:rsidP="0039105C">
      <w:pPr>
        <w:spacing w:after="0" w:line="240" w:lineRule="auto"/>
        <w:ind w:firstLine="709"/>
        <w:jc w:val="both"/>
        <w:rPr>
          <w:rFonts w:ascii="Times New Roman" w:hAnsi="Times New Roman"/>
          <w:sz w:val="28"/>
          <w:szCs w:val="28"/>
        </w:rPr>
      </w:pPr>
      <w:r w:rsidRPr="0039105C">
        <w:rPr>
          <w:rFonts w:ascii="Times New Roman" w:hAnsi="Times New Roman"/>
          <w:sz w:val="28"/>
          <w:szCs w:val="28"/>
        </w:rPr>
        <w:lastRenderedPageBreak/>
        <w:t xml:space="preserve">Положительную динамику инвестиционной активности во внебюджетном секторе (почти 97 %) обеспечивает реализация крупного инвестиционного проекта: «ОАО СИБИРЬ-ПОЛИМЕТАЛЛЫ». Реконструкция  </w:t>
      </w:r>
      <w:proofErr w:type="spellStart"/>
      <w:r w:rsidRPr="0039105C">
        <w:rPr>
          <w:rFonts w:ascii="Times New Roman" w:hAnsi="Times New Roman"/>
          <w:sz w:val="28"/>
          <w:szCs w:val="28"/>
        </w:rPr>
        <w:t>Рубцовской</w:t>
      </w:r>
      <w:proofErr w:type="spellEnd"/>
      <w:r w:rsidRPr="0039105C">
        <w:rPr>
          <w:rFonts w:ascii="Times New Roman" w:hAnsi="Times New Roman"/>
          <w:sz w:val="28"/>
          <w:szCs w:val="28"/>
        </w:rPr>
        <w:t xml:space="preserve"> обогатительной  фабрики с целью увеличения  производительности до 1,5 млн</w:t>
      </w:r>
      <w:proofErr w:type="gramStart"/>
      <w:r w:rsidRPr="0039105C">
        <w:rPr>
          <w:rFonts w:ascii="Times New Roman" w:hAnsi="Times New Roman"/>
          <w:sz w:val="28"/>
          <w:szCs w:val="28"/>
        </w:rPr>
        <w:t>.т</w:t>
      </w:r>
      <w:proofErr w:type="gramEnd"/>
      <w:r w:rsidRPr="0039105C">
        <w:rPr>
          <w:rFonts w:ascii="Times New Roman" w:hAnsi="Times New Roman"/>
          <w:sz w:val="28"/>
          <w:szCs w:val="28"/>
        </w:rPr>
        <w:t>онн  руды в год». Г</w:t>
      </w:r>
      <w:r w:rsidR="00D63BBB">
        <w:rPr>
          <w:rFonts w:ascii="Times New Roman" w:hAnsi="Times New Roman"/>
          <w:sz w:val="28"/>
          <w:szCs w:val="28"/>
        </w:rPr>
        <w:t xml:space="preserve">од окончания строительства 2022. В настоящее время </w:t>
      </w:r>
      <w:r w:rsidR="00D63BBB" w:rsidRPr="00D63BBB">
        <w:rPr>
          <w:rFonts w:ascii="Times New Roman" w:hAnsi="Times New Roman"/>
          <w:sz w:val="28"/>
          <w:szCs w:val="28"/>
        </w:rPr>
        <w:t xml:space="preserve">обогатительная фабрика работает </w:t>
      </w:r>
      <w:proofErr w:type="gramStart"/>
      <w:r w:rsidR="00D63BBB" w:rsidRPr="00D63BBB">
        <w:rPr>
          <w:rFonts w:ascii="Times New Roman" w:hAnsi="Times New Roman"/>
          <w:sz w:val="28"/>
          <w:szCs w:val="28"/>
        </w:rPr>
        <w:t>режиме</w:t>
      </w:r>
      <w:proofErr w:type="gramEnd"/>
      <w:r w:rsidR="00D63BBB" w:rsidRPr="00D63BBB">
        <w:rPr>
          <w:rFonts w:ascii="Times New Roman" w:hAnsi="Times New Roman"/>
          <w:sz w:val="28"/>
          <w:szCs w:val="28"/>
        </w:rPr>
        <w:t xml:space="preserve"> опытно-промышленной эксплуатации</w:t>
      </w:r>
      <w:r w:rsidR="00D63BBB">
        <w:rPr>
          <w:sz w:val="28"/>
          <w:szCs w:val="28"/>
        </w:rPr>
        <w:t xml:space="preserve">. </w:t>
      </w:r>
    </w:p>
    <w:p w:rsidR="0039105C" w:rsidRPr="0039105C" w:rsidRDefault="0039105C" w:rsidP="0039105C">
      <w:pPr>
        <w:spacing w:after="0" w:line="240" w:lineRule="auto"/>
        <w:ind w:firstLine="708"/>
        <w:jc w:val="both"/>
        <w:rPr>
          <w:rFonts w:ascii="Times New Roman" w:hAnsi="Times New Roman"/>
          <w:sz w:val="28"/>
          <w:szCs w:val="28"/>
        </w:rPr>
      </w:pPr>
      <w:r w:rsidRPr="0039105C">
        <w:rPr>
          <w:rFonts w:ascii="Times New Roman" w:hAnsi="Times New Roman"/>
          <w:sz w:val="28"/>
          <w:szCs w:val="28"/>
        </w:rPr>
        <w:t>Средства  районного бюджета  были направлены на ремонты  объектов ЖКХ, культуры и спорта.</w:t>
      </w:r>
    </w:p>
    <w:p w:rsidR="008E03F7" w:rsidRPr="0039105C" w:rsidRDefault="008E03F7" w:rsidP="0039105C">
      <w:pPr>
        <w:spacing w:after="0" w:line="240" w:lineRule="auto"/>
        <w:ind w:firstLine="708"/>
        <w:jc w:val="both"/>
        <w:rPr>
          <w:rFonts w:ascii="Times New Roman" w:hAnsi="Times New Roman"/>
          <w:sz w:val="28"/>
          <w:szCs w:val="28"/>
        </w:rPr>
      </w:pPr>
      <w:r w:rsidRPr="0039105C">
        <w:rPr>
          <w:rFonts w:ascii="Times New Roman" w:hAnsi="Times New Roman"/>
          <w:sz w:val="28"/>
          <w:szCs w:val="28"/>
        </w:rPr>
        <w:t>За 202</w:t>
      </w:r>
      <w:r w:rsidR="003A52E3">
        <w:rPr>
          <w:rFonts w:ascii="Times New Roman" w:hAnsi="Times New Roman"/>
          <w:sz w:val="28"/>
          <w:szCs w:val="28"/>
        </w:rPr>
        <w:t>3</w:t>
      </w:r>
      <w:r w:rsidRPr="0039105C">
        <w:rPr>
          <w:rFonts w:ascii="Times New Roman" w:hAnsi="Times New Roman"/>
          <w:sz w:val="28"/>
          <w:szCs w:val="28"/>
        </w:rPr>
        <w:t xml:space="preserve"> год </w:t>
      </w:r>
      <w:proofErr w:type="spellStart"/>
      <w:r w:rsidRPr="0039105C">
        <w:rPr>
          <w:rFonts w:ascii="Times New Roman" w:hAnsi="Times New Roman"/>
          <w:sz w:val="28"/>
          <w:szCs w:val="28"/>
        </w:rPr>
        <w:t>сельхозтовапроизводителями</w:t>
      </w:r>
      <w:proofErr w:type="spellEnd"/>
      <w:r w:rsidRPr="0039105C">
        <w:rPr>
          <w:rFonts w:ascii="Times New Roman" w:hAnsi="Times New Roman"/>
          <w:sz w:val="28"/>
          <w:szCs w:val="28"/>
        </w:rPr>
        <w:t xml:space="preserve"> района приобретено техники и оборудования (как импортного, так и отечественного производства) на сумму 3</w:t>
      </w:r>
      <w:r w:rsidR="003A52E3">
        <w:rPr>
          <w:rFonts w:ascii="Times New Roman" w:hAnsi="Times New Roman"/>
          <w:sz w:val="28"/>
          <w:szCs w:val="28"/>
        </w:rPr>
        <w:t>88</w:t>
      </w:r>
      <w:r w:rsidRPr="0039105C">
        <w:rPr>
          <w:rFonts w:ascii="Times New Roman" w:hAnsi="Times New Roman"/>
          <w:sz w:val="28"/>
          <w:szCs w:val="28"/>
        </w:rPr>
        <w:t xml:space="preserve">  млн. рублей. </w:t>
      </w:r>
    </w:p>
    <w:p w:rsidR="008E03F7" w:rsidRPr="0039105C" w:rsidRDefault="008E03F7" w:rsidP="004630CF">
      <w:pPr>
        <w:spacing w:after="0" w:line="240" w:lineRule="auto"/>
        <w:ind w:firstLine="720"/>
        <w:jc w:val="both"/>
        <w:rPr>
          <w:rFonts w:ascii="Times New Roman" w:hAnsi="Times New Roman"/>
          <w:color w:val="000000" w:themeColor="text1"/>
          <w:sz w:val="28"/>
          <w:szCs w:val="28"/>
        </w:rPr>
      </w:pPr>
      <w:r w:rsidRPr="0039105C">
        <w:rPr>
          <w:rFonts w:ascii="Times New Roman" w:hAnsi="Times New Roman"/>
          <w:sz w:val="28"/>
          <w:szCs w:val="28"/>
        </w:rPr>
        <w:t>В 202</w:t>
      </w:r>
      <w:r w:rsidR="003A52E3">
        <w:rPr>
          <w:rFonts w:ascii="Times New Roman" w:hAnsi="Times New Roman"/>
          <w:sz w:val="28"/>
          <w:szCs w:val="28"/>
        </w:rPr>
        <w:t>3</w:t>
      </w:r>
      <w:r w:rsidRPr="0039105C">
        <w:rPr>
          <w:rFonts w:ascii="Times New Roman" w:hAnsi="Times New Roman"/>
          <w:sz w:val="28"/>
          <w:szCs w:val="28"/>
        </w:rPr>
        <w:t xml:space="preserve"> году введено в эксплуатацию  1</w:t>
      </w:r>
      <w:r w:rsidR="003A52E3">
        <w:rPr>
          <w:rFonts w:ascii="Times New Roman" w:hAnsi="Times New Roman"/>
          <w:sz w:val="28"/>
          <w:szCs w:val="28"/>
        </w:rPr>
        <w:t>915</w:t>
      </w:r>
      <w:r w:rsidRPr="0039105C">
        <w:rPr>
          <w:rFonts w:ascii="Times New Roman" w:hAnsi="Times New Roman"/>
          <w:sz w:val="28"/>
          <w:szCs w:val="28"/>
        </w:rPr>
        <w:t xml:space="preserve"> кв</w:t>
      </w:r>
      <w:r w:rsidR="004630CF">
        <w:rPr>
          <w:rFonts w:ascii="Times New Roman" w:hAnsi="Times New Roman"/>
          <w:sz w:val="28"/>
          <w:szCs w:val="28"/>
        </w:rPr>
        <w:t>.м.  индивидуальных жилых домов.</w:t>
      </w:r>
      <w:r w:rsidRPr="0039105C">
        <w:rPr>
          <w:rFonts w:ascii="Times New Roman" w:hAnsi="Times New Roman"/>
          <w:sz w:val="28"/>
          <w:szCs w:val="28"/>
        </w:rPr>
        <w:t xml:space="preserve"> </w:t>
      </w:r>
    </w:p>
    <w:p w:rsidR="004E0894" w:rsidRPr="003A11BE" w:rsidRDefault="004E0894" w:rsidP="003A11BE">
      <w:pPr>
        <w:spacing w:after="0" w:line="240" w:lineRule="auto"/>
        <w:jc w:val="both"/>
        <w:rPr>
          <w:rFonts w:ascii="Times New Roman" w:hAnsi="Times New Roman"/>
          <w:sz w:val="28"/>
          <w:szCs w:val="28"/>
        </w:rPr>
      </w:pPr>
    </w:p>
    <w:p w:rsidR="00E95AEE" w:rsidRPr="003A11BE" w:rsidRDefault="00E95AEE">
      <w:pPr>
        <w:spacing w:after="0" w:line="240" w:lineRule="auto"/>
        <w:jc w:val="both"/>
        <w:rPr>
          <w:rFonts w:ascii="Times New Roman" w:hAnsi="Times New Roman"/>
          <w:sz w:val="28"/>
          <w:szCs w:val="28"/>
        </w:rPr>
      </w:pPr>
    </w:p>
    <w:sectPr w:rsidR="00E95AEE" w:rsidRPr="003A11BE" w:rsidSect="00474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rawingGridVerticalSpacing w:val="381"/>
  <w:displayHorizontalDrawingGridEvery w:val="2"/>
  <w:characterSpacingControl w:val="doNotCompress"/>
  <w:compat/>
  <w:rsids>
    <w:rsidRoot w:val="004742D5"/>
    <w:rsid w:val="00017A82"/>
    <w:rsid w:val="00034CC4"/>
    <w:rsid w:val="00051B52"/>
    <w:rsid w:val="00055487"/>
    <w:rsid w:val="000F27F1"/>
    <w:rsid w:val="001227E0"/>
    <w:rsid w:val="00161D07"/>
    <w:rsid w:val="00170025"/>
    <w:rsid w:val="00196EBD"/>
    <w:rsid w:val="001C066A"/>
    <w:rsid w:val="00212258"/>
    <w:rsid w:val="00223DA5"/>
    <w:rsid w:val="00241129"/>
    <w:rsid w:val="00245D87"/>
    <w:rsid w:val="00296105"/>
    <w:rsid w:val="00320610"/>
    <w:rsid w:val="00333450"/>
    <w:rsid w:val="00352335"/>
    <w:rsid w:val="003576B9"/>
    <w:rsid w:val="00360734"/>
    <w:rsid w:val="00374BFA"/>
    <w:rsid w:val="0039105C"/>
    <w:rsid w:val="003A11BE"/>
    <w:rsid w:val="003A52E3"/>
    <w:rsid w:val="003C089F"/>
    <w:rsid w:val="003D2B9F"/>
    <w:rsid w:val="003F36C5"/>
    <w:rsid w:val="00427402"/>
    <w:rsid w:val="0043156A"/>
    <w:rsid w:val="00437554"/>
    <w:rsid w:val="004509CC"/>
    <w:rsid w:val="004630CF"/>
    <w:rsid w:val="004721A0"/>
    <w:rsid w:val="0047368B"/>
    <w:rsid w:val="004742D5"/>
    <w:rsid w:val="00485853"/>
    <w:rsid w:val="004E0894"/>
    <w:rsid w:val="004E1245"/>
    <w:rsid w:val="005205D1"/>
    <w:rsid w:val="00530094"/>
    <w:rsid w:val="005A0214"/>
    <w:rsid w:val="005A5599"/>
    <w:rsid w:val="00607E8E"/>
    <w:rsid w:val="006319E6"/>
    <w:rsid w:val="00643DBB"/>
    <w:rsid w:val="00666170"/>
    <w:rsid w:val="0068721C"/>
    <w:rsid w:val="006A1B3B"/>
    <w:rsid w:val="006A78AA"/>
    <w:rsid w:val="006B345B"/>
    <w:rsid w:val="006C3155"/>
    <w:rsid w:val="007105D8"/>
    <w:rsid w:val="00724878"/>
    <w:rsid w:val="0073263F"/>
    <w:rsid w:val="00744814"/>
    <w:rsid w:val="0076274D"/>
    <w:rsid w:val="00767C7C"/>
    <w:rsid w:val="00814D1C"/>
    <w:rsid w:val="00860FF0"/>
    <w:rsid w:val="00870185"/>
    <w:rsid w:val="008A7DDD"/>
    <w:rsid w:val="008C3F74"/>
    <w:rsid w:val="008E03F7"/>
    <w:rsid w:val="008E3BDF"/>
    <w:rsid w:val="00930701"/>
    <w:rsid w:val="00952687"/>
    <w:rsid w:val="00964D6B"/>
    <w:rsid w:val="009A04E8"/>
    <w:rsid w:val="00A458C6"/>
    <w:rsid w:val="00A64949"/>
    <w:rsid w:val="00AB090A"/>
    <w:rsid w:val="00AB4993"/>
    <w:rsid w:val="00B13375"/>
    <w:rsid w:val="00BA61C8"/>
    <w:rsid w:val="00BC50A8"/>
    <w:rsid w:val="00BC6E8A"/>
    <w:rsid w:val="00BD7F2B"/>
    <w:rsid w:val="00BF2676"/>
    <w:rsid w:val="00C10627"/>
    <w:rsid w:val="00C212DC"/>
    <w:rsid w:val="00C5134A"/>
    <w:rsid w:val="00C60149"/>
    <w:rsid w:val="00CA1011"/>
    <w:rsid w:val="00CF61F9"/>
    <w:rsid w:val="00D232D6"/>
    <w:rsid w:val="00D31A93"/>
    <w:rsid w:val="00D32779"/>
    <w:rsid w:val="00D41FAF"/>
    <w:rsid w:val="00D63BBB"/>
    <w:rsid w:val="00D65F42"/>
    <w:rsid w:val="00D84FE7"/>
    <w:rsid w:val="00D93FEF"/>
    <w:rsid w:val="00DB02BF"/>
    <w:rsid w:val="00DD4C16"/>
    <w:rsid w:val="00DD5FA5"/>
    <w:rsid w:val="00DD7141"/>
    <w:rsid w:val="00E2430A"/>
    <w:rsid w:val="00E62A34"/>
    <w:rsid w:val="00E95AEE"/>
    <w:rsid w:val="00EA1575"/>
    <w:rsid w:val="00EC7529"/>
    <w:rsid w:val="00ED3401"/>
    <w:rsid w:val="00F12582"/>
    <w:rsid w:val="00F50E0E"/>
    <w:rsid w:val="00F5284F"/>
    <w:rsid w:val="00F52894"/>
    <w:rsid w:val="00F75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42D5"/>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Web) Знак Знак,Обычный (веб) Знак Знак,Обычный (Web) Знак1 Знак,Обычный (Web) Знак Знак Знак,Обычный (веб) Знак1,Знак Знак Знак1 Знак,Знак Знак,Обычный (Web) Знак,Знак Знак Знак Знак"/>
    <w:basedOn w:val="a"/>
    <w:link w:val="2"/>
    <w:unhideWhenUsed/>
    <w:rsid w:val="003C089F"/>
    <w:pPr>
      <w:spacing w:before="100" w:beforeAutospacing="1" w:after="100" w:afterAutospacing="1" w:line="240" w:lineRule="auto"/>
    </w:pPr>
    <w:rPr>
      <w:rFonts w:ascii="Times New Roman" w:eastAsia="Times New Roman" w:hAnsi="Times New Roman"/>
      <w:sz w:val="24"/>
      <w:szCs w:val="24"/>
    </w:rPr>
  </w:style>
  <w:style w:type="paragraph" w:customStyle="1" w:styleId="1">
    <w:name w:val="Знак1 Знак Знак Знак Знак Знак Знак Знак Знак Знак Знак Знак Знак"/>
    <w:basedOn w:val="a"/>
    <w:autoRedefine/>
    <w:rsid w:val="003C089F"/>
    <w:pPr>
      <w:spacing w:after="0" w:line="240" w:lineRule="atLeast"/>
      <w:jc w:val="both"/>
    </w:pPr>
    <w:rPr>
      <w:rFonts w:ascii="Times New Roman" w:eastAsia="Times New Roman" w:hAnsi="Times New Roman"/>
      <w:spacing w:val="-6"/>
      <w:sz w:val="28"/>
      <w:szCs w:val="28"/>
      <w:lang w:eastAsia="en-US"/>
    </w:rPr>
  </w:style>
  <w:style w:type="character" w:customStyle="1" w:styleId="2">
    <w:name w:val="Обычный (веб) Знак2"/>
    <w:aliases w:val="Обычный (Web) Знак1,Обычный (веб) Знак Знак1,Обычный (Web) Знак Знак Знак1,Обычный (веб) Знак Знак Знак,Обычный (Web) Знак1 Знак Знак,Обычный (Web) Знак Знак Знак Знак,Обычный (веб) Знак1 Знак,Знак Знак Знак1 Знак Знак,Знак Знак Знак"/>
    <w:link w:val="a3"/>
    <w:locked/>
    <w:rsid w:val="00C212DC"/>
    <w:rPr>
      <w:sz w:val="24"/>
      <w:szCs w:val="24"/>
      <w:lang w:val="ru-RU" w:eastAsia="ru-RU" w:bidi="ar-SA"/>
    </w:rPr>
  </w:style>
  <w:style w:type="character" w:styleId="a4">
    <w:name w:val="Strong"/>
    <w:basedOn w:val="a0"/>
    <w:uiPriority w:val="22"/>
    <w:qFormat/>
    <w:rsid w:val="004E0894"/>
    <w:rPr>
      <w:b/>
      <w:bCs/>
    </w:rPr>
  </w:style>
  <w:style w:type="paragraph" w:styleId="a5">
    <w:name w:val="No Spacing"/>
    <w:link w:val="a6"/>
    <w:qFormat/>
    <w:rsid w:val="0068721C"/>
    <w:rPr>
      <w:rFonts w:ascii="Calibri" w:eastAsia="Calibri" w:hAnsi="Calibri"/>
      <w:sz w:val="22"/>
      <w:szCs w:val="22"/>
      <w:lang w:eastAsia="en-US"/>
    </w:rPr>
  </w:style>
  <w:style w:type="character" w:customStyle="1" w:styleId="a6">
    <w:name w:val="Без интервала Знак"/>
    <w:link w:val="a5"/>
    <w:rsid w:val="0068721C"/>
    <w:rPr>
      <w:rFonts w:ascii="Calibri" w:eastAsia="Calibri" w:hAnsi="Calibri"/>
      <w:sz w:val="22"/>
      <w:szCs w:val="22"/>
      <w:lang w:eastAsia="en-US"/>
    </w:rPr>
  </w:style>
  <w:style w:type="paragraph" w:styleId="a7">
    <w:name w:val="Balloon Text"/>
    <w:basedOn w:val="a"/>
    <w:link w:val="a8"/>
    <w:rsid w:val="00DB02BF"/>
    <w:pPr>
      <w:spacing w:after="0" w:line="240" w:lineRule="auto"/>
    </w:pPr>
    <w:rPr>
      <w:rFonts w:ascii="Tahoma" w:hAnsi="Tahoma" w:cs="Tahoma"/>
      <w:sz w:val="16"/>
      <w:szCs w:val="16"/>
    </w:rPr>
  </w:style>
  <w:style w:type="character" w:customStyle="1" w:styleId="a8">
    <w:name w:val="Текст выноски Знак"/>
    <w:basedOn w:val="a0"/>
    <w:link w:val="a7"/>
    <w:rsid w:val="00DB02B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собственные</c:v>
                </c:pt>
              </c:strCache>
            </c:strRef>
          </c:tx>
          <c:dLbls>
            <c:showVal val="1"/>
          </c:dLbls>
          <c:cat>
            <c:strRef>
              <c:f>Лист1!$A$2:$A$3</c:f>
              <c:strCache>
                <c:ptCount val="2"/>
                <c:pt idx="0">
                  <c:v>январь-декабрь 2022</c:v>
                </c:pt>
                <c:pt idx="1">
                  <c:v>январь декабрь 2023</c:v>
                </c:pt>
              </c:strCache>
            </c:strRef>
          </c:cat>
          <c:val>
            <c:numRef>
              <c:f>Лист1!$B$2:$B$3</c:f>
              <c:numCache>
                <c:formatCode>General</c:formatCode>
                <c:ptCount val="2"/>
                <c:pt idx="0">
                  <c:v>568.5</c:v>
                </c:pt>
                <c:pt idx="1">
                  <c:v>1527</c:v>
                </c:pt>
              </c:numCache>
            </c:numRef>
          </c:val>
        </c:ser>
        <c:ser>
          <c:idx val="1"/>
          <c:order val="1"/>
          <c:tx>
            <c:strRef>
              <c:f>Лист1!$C$1</c:f>
              <c:strCache>
                <c:ptCount val="1"/>
                <c:pt idx="0">
                  <c:v>привлеченные</c:v>
                </c:pt>
              </c:strCache>
            </c:strRef>
          </c:tx>
          <c:dLbls>
            <c:showVal val="1"/>
          </c:dLbls>
          <c:cat>
            <c:strRef>
              <c:f>Лист1!$A$2:$A$3</c:f>
              <c:strCache>
                <c:ptCount val="2"/>
                <c:pt idx="0">
                  <c:v>январь-декабрь 2022</c:v>
                </c:pt>
                <c:pt idx="1">
                  <c:v>январь декабрь 2023</c:v>
                </c:pt>
              </c:strCache>
            </c:strRef>
          </c:cat>
          <c:val>
            <c:numRef>
              <c:f>Лист1!$C$2:$C$3</c:f>
              <c:numCache>
                <c:formatCode>General</c:formatCode>
                <c:ptCount val="2"/>
                <c:pt idx="0">
                  <c:v>2569.8000000000002</c:v>
                </c:pt>
                <c:pt idx="1">
                  <c:v>3012.4</c:v>
                </c:pt>
              </c:numCache>
            </c:numRef>
          </c:val>
        </c:ser>
        <c:ser>
          <c:idx val="2"/>
          <c:order val="2"/>
          <c:tx>
            <c:strRef>
              <c:f>Лист1!$D$1</c:f>
              <c:strCache>
                <c:ptCount val="1"/>
                <c:pt idx="0">
                  <c:v>Ряд 3</c:v>
                </c:pt>
              </c:strCache>
            </c:strRef>
          </c:tx>
          <c:cat>
            <c:strRef>
              <c:f>Лист1!$A$2:$A$3</c:f>
              <c:strCache>
                <c:ptCount val="2"/>
                <c:pt idx="0">
                  <c:v>январь-декабрь 2022</c:v>
                </c:pt>
                <c:pt idx="1">
                  <c:v>январь декабрь 2023</c:v>
                </c:pt>
              </c:strCache>
            </c:strRef>
          </c:cat>
          <c:val>
            <c:numRef>
              <c:f>Лист1!$D$2:$D$3</c:f>
            </c:numRef>
          </c:val>
        </c:ser>
        <c:axId val="73579904"/>
        <c:axId val="73598848"/>
      </c:barChart>
      <c:catAx>
        <c:axId val="73579904"/>
        <c:scaling>
          <c:orientation val="minMax"/>
        </c:scaling>
        <c:axPos val="b"/>
        <c:tickLblPos val="nextTo"/>
        <c:crossAx val="73598848"/>
        <c:crosses val="autoZero"/>
        <c:auto val="1"/>
        <c:lblAlgn val="ctr"/>
        <c:lblOffset val="100"/>
      </c:catAx>
      <c:valAx>
        <c:axId val="73598848"/>
        <c:scaling>
          <c:orientation val="minMax"/>
        </c:scaling>
        <c:axPos val="l"/>
        <c:majorGridlines/>
        <c:numFmt formatCode="General" sourceLinked="1"/>
        <c:tickLblPos val="nextTo"/>
        <c:crossAx val="73579904"/>
        <c:crosses val="autoZero"/>
        <c:crossBetween val="between"/>
      </c:valAx>
      <c:spPr>
        <a:ln>
          <a:noFill/>
        </a:ln>
      </c:spPr>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i="1"/>
            </a:pPr>
            <a:r>
              <a:rPr lang="ru-RU" sz="1400" b="0" i="1"/>
              <a:t>Инвестиции в основной капитал по видам экономической деятельности, %</a:t>
            </a:r>
          </a:p>
        </c:rich>
      </c:tx>
    </c:title>
    <c:plotArea>
      <c:layout/>
      <c:pieChart>
        <c:varyColors val="1"/>
        <c:ser>
          <c:idx val="0"/>
          <c:order val="0"/>
          <c:tx>
            <c:strRef>
              <c:f>Лист1!$B$1</c:f>
              <c:strCache>
                <c:ptCount val="1"/>
                <c:pt idx="0">
                  <c:v>Инвестиции в основной капитал по видам экономической деятельности</c:v>
                </c:pt>
              </c:strCache>
            </c:strRef>
          </c:tx>
          <c:spPr>
            <a:ln>
              <a:noFill/>
            </a:ln>
          </c:spPr>
          <c:dLbls>
            <c:showVal val="1"/>
            <c:showLeaderLines val="1"/>
          </c:dLbls>
          <c:cat>
            <c:strRef>
              <c:f>Лист1!$A$2:$A$5</c:f>
              <c:strCache>
                <c:ptCount val="4"/>
                <c:pt idx="0">
                  <c:v>добыча полезных ископаемых</c:v>
                </c:pt>
                <c:pt idx="1">
                  <c:v>сельское, лесное хозяйство</c:v>
                </c:pt>
                <c:pt idx="2">
                  <c:v>обеспечение эл.энергией, газом, паром</c:v>
                </c:pt>
                <c:pt idx="3">
                  <c:v>прочие виды деятельности</c:v>
                </c:pt>
              </c:strCache>
            </c:strRef>
          </c:cat>
          <c:val>
            <c:numRef>
              <c:f>Лист1!$B$2:$B$5</c:f>
              <c:numCache>
                <c:formatCode>General</c:formatCode>
                <c:ptCount val="4"/>
                <c:pt idx="0">
                  <c:v>96</c:v>
                </c:pt>
                <c:pt idx="1">
                  <c:v>0.9</c:v>
                </c:pt>
                <c:pt idx="2">
                  <c:v>1.2</c:v>
                </c:pt>
                <c:pt idx="3">
                  <c:v>10.9</c:v>
                </c:pt>
              </c:numCache>
            </c:numRef>
          </c:val>
        </c:ser>
        <c:firstSliceAng val="0"/>
      </c:pieChart>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i="1"/>
            </a:pPr>
            <a:r>
              <a:rPr lang="ru-RU" sz="1400" b="0" i="1">
                <a:latin typeface="Times New Roman" pitchFamily="18" charset="0"/>
                <a:cs typeface="Times New Roman" pitchFamily="18" charset="0"/>
              </a:rPr>
              <a:t>Распределение инвестиций в основной капитал  
по направлениям основных фондов ,%</a:t>
            </a:r>
            <a:endParaRPr lang="ru-RU" sz="1400" b="0" i="1"/>
          </a:p>
        </c:rich>
      </c:tx>
      <c:layout>
        <c:manualLayout>
          <c:xMode val="edge"/>
          <c:yMode val="edge"/>
          <c:x val="0.11144394856780086"/>
          <c:y val="2.8282828282828285E-2"/>
        </c:manualLayout>
      </c:layout>
    </c:title>
    <c:plotArea>
      <c:layout/>
      <c:pieChart>
        <c:varyColors val="1"/>
        <c:ser>
          <c:idx val="0"/>
          <c:order val="0"/>
          <c:tx>
            <c:strRef>
              <c:f>Лист1!$B$1</c:f>
              <c:strCache>
                <c:ptCount val="1"/>
                <c:pt idx="0">
                  <c:v>Распределение инвестиций в основной капитал  
по направлениям основных фондов за январь - декабрь 2021 года,% 
</c:v>
                </c:pt>
              </c:strCache>
            </c:strRef>
          </c:tx>
          <c:dLbls>
            <c:showVal val="1"/>
            <c:showLeaderLines val="1"/>
          </c:dLbls>
          <c:cat>
            <c:strRef>
              <c:f>Лист1!$A$2:$A$5</c:f>
              <c:strCache>
                <c:ptCount val="4"/>
                <c:pt idx="0">
                  <c:v>здания (кроме жилых) и сооружения</c:v>
                </c:pt>
                <c:pt idx="1">
                  <c:v>машины и оборудование, включая хоз. инвентарь</c:v>
                </c:pt>
                <c:pt idx="2">
                  <c:v>транспортные средства</c:v>
                </c:pt>
                <c:pt idx="3">
                  <c:v>прочие</c:v>
                </c:pt>
              </c:strCache>
            </c:strRef>
          </c:cat>
          <c:val>
            <c:numRef>
              <c:f>Лист1!$B$2:$B$5</c:f>
              <c:numCache>
                <c:formatCode>General</c:formatCode>
                <c:ptCount val="4"/>
                <c:pt idx="0">
                  <c:v>89.8</c:v>
                </c:pt>
                <c:pt idx="1">
                  <c:v>4.5</c:v>
                </c:pt>
                <c:pt idx="2">
                  <c:v>2.7</c:v>
                </c:pt>
                <c:pt idx="3">
                  <c:v>3</c:v>
                </c:pt>
              </c:numCache>
            </c:numRef>
          </c:val>
        </c:ser>
        <c:firstSliceAng val="0"/>
      </c:pieChart>
    </c:plotArea>
    <c:legend>
      <c:legendPos val="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EA92D-EC29-4F67-BB65-B5E6BF5F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Инвестиционная активность  Благовещенского района</vt:lpstr>
    </vt:vector>
  </TitlesOfParts>
  <Company>MoBIL GROUP</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Инвестиционная активность  Благовещенского района</dc:title>
  <dc:creator>Пользователь</dc:creator>
  <cp:lastModifiedBy>Алла</cp:lastModifiedBy>
  <cp:revision>41</cp:revision>
  <dcterms:created xsi:type="dcterms:W3CDTF">2021-04-06T04:38:00Z</dcterms:created>
  <dcterms:modified xsi:type="dcterms:W3CDTF">2024-03-27T05:18:00Z</dcterms:modified>
</cp:coreProperties>
</file>