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2" w:rsidRPr="007F20C9" w:rsidRDefault="005101F2" w:rsidP="005101F2">
      <w:pPr>
        <w:spacing w:after="0" w:line="240" w:lineRule="auto"/>
        <w:jc w:val="center"/>
        <w:rPr>
          <w:rFonts w:ascii="Times New Roman" w:hAnsi="Times New Roman" w:cs="Times New Roman"/>
          <w:color w:val="0362ED"/>
          <w:sz w:val="28"/>
          <w:szCs w:val="28"/>
        </w:rPr>
      </w:pPr>
      <w:r w:rsidRPr="007F20C9">
        <w:rPr>
          <w:rFonts w:ascii="Arial" w:hAnsi="Arial" w:cs="Arial"/>
          <w:color w:val="0070C0"/>
          <w:sz w:val="24"/>
          <w:szCs w:val="24"/>
        </w:rPr>
        <w:tab/>
      </w:r>
      <w:r w:rsidRPr="007F20C9">
        <w:rPr>
          <w:rFonts w:ascii="Times New Roman" w:hAnsi="Times New Roman" w:cs="Times New Roman"/>
          <w:color w:val="0362ED"/>
          <w:sz w:val="28"/>
          <w:szCs w:val="28"/>
        </w:rPr>
        <w:t>РОССИЙСКАЯ  ФЕДЕРАЦИЯ</w:t>
      </w:r>
    </w:p>
    <w:p w:rsidR="005101F2" w:rsidRPr="007F20C9" w:rsidRDefault="005101F2" w:rsidP="005101F2">
      <w:pPr>
        <w:spacing w:after="0" w:line="240" w:lineRule="auto"/>
        <w:jc w:val="center"/>
        <w:rPr>
          <w:rFonts w:ascii="Times New Roman" w:hAnsi="Times New Roman" w:cs="Times New Roman"/>
          <w:color w:val="0362ED"/>
          <w:sz w:val="28"/>
          <w:szCs w:val="28"/>
        </w:rPr>
      </w:pPr>
    </w:p>
    <w:p w:rsidR="005101F2" w:rsidRPr="007F20C9" w:rsidRDefault="005101F2" w:rsidP="005101F2">
      <w:pPr>
        <w:spacing w:after="0" w:line="240" w:lineRule="auto"/>
        <w:jc w:val="center"/>
        <w:rPr>
          <w:rFonts w:ascii="Times New Roman" w:hAnsi="Times New Roman" w:cs="Times New Roman"/>
          <w:color w:val="0362ED"/>
          <w:sz w:val="28"/>
          <w:szCs w:val="28"/>
        </w:rPr>
      </w:pPr>
      <w:r w:rsidRPr="007F20C9">
        <w:rPr>
          <w:rFonts w:ascii="Times New Roman" w:hAnsi="Times New Roman" w:cs="Times New Roman"/>
          <w:color w:val="0362ED"/>
          <w:sz w:val="28"/>
          <w:szCs w:val="28"/>
        </w:rPr>
        <w:t>АДМИНИСТРАЦИЯ РУБЦОВСКОГО РАЙОНА</w:t>
      </w:r>
    </w:p>
    <w:p w:rsidR="005101F2" w:rsidRPr="007F20C9" w:rsidRDefault="005101F2" w:rsidP="005101F2">
      <w:pPr>
        <w:spacing w:after="0" w:line="240" w:lineRule="auto"/>
        <w:jc w:val="center"/>
        <w:rPr>
          <w:rFonts w:ascii="Times New Roman" w:hAnsi="Times New Roman" w:cs="Times New Roman"/>
          <w:color w:val="0362ED"/>
          <w:sz w:val="28"/>
          <w:szCs w:val="28"/>
        </w:rPr>
      </w:pPr>
      <w:r w:rsidRPr="007F20C9">
        <w:rPr>
          <w:rFonts w:ascii="Times New Roman" w:hAnsi="Times New Roman" w:cs="Times New Roman"/>
          <w:color w:val="0362ED"/>
          <w:sz w:val="28"/>
          <w:szCs w:val="28"/>
        </w:rPr>
        <w:t>АЛТАЙСКОГО КРАЯ</w:t>
      </w:r>
    </w:p>
    <w:p w:rsidR="005101F2" w:rsidRPr="007F20C9" w:rsidRDefault="005101F2" w:rsidP="005101F2">
      <w:pPr>
        <w:spacing w:after="0" w:line="240" w:lineRule="auto"/>
        <w:jc w:val="center"/>
        <w:rPr>
          <w:rFonts w:ascii="Arial" w:hAnsi="Arial" w:cs="Arial"/>
          <w:color w:val="0362ED"/>
          <w:sz w:val="24"/>
          <w:szCs w:val="24"/>
        </w:rPr>
      </w:pPr>
    </w:p>
    <w:p w:rsidR="005101F2" w:rsidRPr="007F20C9" w:rsidRDefault="005101F2" w:rsidP="005101F2">
      <w:pPr>
        <w:spacing w:after="0" w:line="240" w:lineRule="auto"/>
        <w:jc w:val="center"/>
        <w:rPr>
          <w:rFonts w:ascii="Impact" w:hAnsi="Impact" w:cs="Arial"/>
          <w:color w:val="0362ED"/>
          <w:sz w:val="52"/>
          <w:szCs w:val="52"/>
        </w:rPr>
      </w:pPr>
      <w:proofErr w:type="gramStart"/>
      <w:r w:rsidRPr="007F20C9">
        <w:rPr>
          <w:rFonts w:ascii="Impact" w:hAnsi="Impact" w:cs="Arial"/>
          <w:color w:val="0362ED"/>
          <w:sz w:val="52"/>
          <w:szCs w:val="52"/>
        </w:rPr>
        <w:t>П</w:t>
      </w:r>
      <w:proofErr w:type="gramEnd"/>
      <w:r w:rsidRPr="007F20C9">
        <w:rPr>
          <w:rFonts w:ascii="Impact" w:hAnsi="Impact" w:cs="Arial"/>
          <w:color w:val="0362ED"/>
          <w:sz w:val="52"/>
          <w:szCs w:val="52"/>
        </w:rPr>
        <w:t xml:space="preserve"> О С Т А Н О В Л Е Н И Е</w:t>
      </w:r>
    </w:p>
    <w:p w:rsidR="005101F2" w:rsidRPr="007F20C9" w:rsidRDefault="005101F2" w:rsidP="005101F2">
      <w:pPr>
        <w:spacing w:after="0" w:line="240" w:lineRule="auto"/>
        <w:jc w:val="center"/>
        <w:rPr>
          <w:rFonts w:ascii="Arial" w:hAnsi="Arial" w:cs="Arial"/>
          <w:color w:val="0362ED"/>
          <w:sz w:val="24"/>
          <w:szCs w:val="24"/>
        </w:rPr>
      </w:pPr>
    </w:p>
    <w:p w:rsidR="005101F2" w:rsidRPr="007F20C9" w:rsidRDefault="005101F2" w:rsidP="005101F2">
      <w:pPr>
        <w:spacing w:after="0" w:line="240" w:lineRule="auto"/>
        <w:jc w:val="center"/>
        <w:rPr>
          <w:rFonts w:ascii="Times New Roman" w:hAnsi="Times New Roman" w:cs="Times New Roman"/>
          <w:color w:val="0362ED"/>
          <w:sz w:val="28"/>
          <w:szCs w:val="28"/>
        </w:rPr>
      </w:pPr>
      <w:r w:rsidRPr="007F20C9">
        <w:rPr>
          <w:rFonts w:ascii="Times New Roman" w:hAnsi="Times New Roman" w:cs="Times New Roman"/>
          <w:color w:val="0362ED"/>
          <w:sz w:val="28"/>
          <w:szCs w:val="28"/>
        </w:rPr>
        <w:t>____</w:t>
      </w:r>
      <w:r w:rsidRPr="007F20C9">
        <w:rPr>
          <w:rFonts w:ascii="Times New Roman" w:hAnsi="Times New Roman" w:cs="Times New Roman"/>
          <w:color w:val="0362ED"/>
          <w:sz w:val="28"/>
          <w:szCs w:val="28"/>
          <w:u w:val="single"/>
        </w:rPr>
        <w:t>27.04.2022</w:t>
      </w:r>
      <w:r w:rsidRPr="007F20C9">
        <w:rPr>
          <w:rFonts w:ascii="Times New Roman" w:hAnsi="Times New Roman" w:cs="Times New Roman"/>
          <w:color w:val="0362ED"/>
          <w:sz w:val="28"/>
          <w:szCs w:val="28"/>
        </w:rPr>
        <w:t>____                                                          №_____</w:t>
      </w:r>
      <w:r w:rsidRPr="007F20C9">
        <w:rPr>
          <w:rFonts w:ascii="Times New Roman" w:hAnsi="Times New Roman" w:cs="Times New Roman"/>
          <w:color w:val="0362ED"/>
          <w:sz w:val="28"/>
          <w:szCs w:val="28"/>
          <w:u w:val="single"/>
        </w:rPr>
        <w:t>238</w:t>
      </w:r>
      <w:r w:rsidRPr="007F20C9">
        <w:rPr>
          <w:rFonts w:ascii="Times New Roman" w:hAnsi="Times New Roman" w:cs="Times New Roman"/>
          <w:color w:val="0362ED"/>
          <w:sz w:val="28"/>
          <w:szCs w:val="28"/>
        </w:rPr>
        <w:t>________</w:t>
      </w:r>
    </w:p>
    <w:p w:rsidR="005101F2" w:rsidRPr="007F20C9" w:rsidRDefault="005101F2" w:rsidP="005101F2">
      <w:pPr>
        <w:spacing w:after="0" w:line="240" w:lineRule="auto"/>
        <w:jc w:val="center"/>
        <w:rPr>
          <w:rFonts w:ascii="Times New Roman" w:hAnsi="Times New Roman" w:cs="Times New Roman"/>
          <w:color w:val="0362ED"/>
          <w:sz w:val="28"/>
          <w:szCs w:val="28"/>
        </w:rPr>
      </w:pPr>
      <w:r w:rsidRPr="007F20C9">
        <w:rPr>
          <w:rFonts w:ascii="Times New Roman" w:hAnsi="Times New Roman" w:cs="Times New Roman"/>
          <w:color w:val="0362ED"/>
          <w:sz w:val="28"/>
          <w:szCs w:val="28"/>
        </w:rPr>
        <w:t>г</w:t>
      </w:r>
      <w:proofErr w:type="gramStart"/>
      <w:r w:rsidRPr="007F20C9">
        <w:rPr>
          <w:rFonts w:ascii="Times New Roman" w:hAnsi="Times New Roman" w:cs="Times New Roman"/>
          <w:color w:val="0362ED"/>
          <w:sz w:val="28"/>
          <w:szCs w:val="28"/>
        </w:rPr>
        <w:t>.Р</w:t>
      </w:r>
      <w:proofErr w:type="gramEnd"/>
      <w:r w:rsidRPr="007F20C9">
        <w:rPr>
          <w:rFonts w:ascii="Times New Roman" w:hAnsi="Times New Roman" w:cs="Times New Roman"/>
          <w:color w:val="0362ED"/>
          <w:sz w:val="28"/>
          <w:szCs w:val="28"/>
        </w:rPr>
        <w:t>убцовск</w:t>
      </w:r>
    </w:p>
    <w:p w:rsidR="005101F2" w:rsidRPr="007F20C9" w:rsidRDefault="005101F2" w:rsidP="005101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101F2" w:rsidRPr="007F20C9" w:rsidRDefault="005101F2" w:rsidP="00510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F2" w:rsidRPr="007F20C9" w:rsidRDefault="005101F2" w:rsidP="00510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F2" w:rsidRPr="007F20C9" w:rsidRDefault="008A7C10" w:rsidP="0046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F2" w:rsidRPr="007F20C9">
        <w:rPr>
          <w:rFonts w:ascii="Times New Roman" w:hAnsi="Times New Roman" w:cs="Times New Roman"/>
          <w:sz w:val="28"/>
          <w:szCs w:val="28"/>
        </w:rPr>
        <w:t>Об утверждении положения о системе</w:t>
      </w:r>
    </w:p>
    <w:p w:rsidR="005101F2" w:rsidRPr="007F20C9" w:rsidRDefault="005101F2" w:rsidP="0046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оплаты труда работников муниципального бюджетного</w:t>
      </w:r>
    </w:p>
    <w:p w:rsidR="005101F2" w:rsidRPr="007F20C9" w:rsidRDefault="005101F2" w:rsidP="0046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учреждения культуры «Культурно-информационный центр»</w:t>
      </w:r>
    </w:p>
    <w:p w:rsidR="005101F2" w:rsidRPr="007F20C9" w:rsidRDefault="005101F2" w:rsidP="0046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0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01F2" w:rsidRPr="007F20C9" w:rsidRDefault="005101F2" w:rsidP="00A67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1F2" w:rsidRPr="007F20C9" w:rsidRDefault="005101F2" w:rsidP="00510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F2" w:rsidRPr="007F20C9" w:rsidRDefault="005101F2" w:rsidP="005101F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F20C9">
        <w:rPr>
          <w:b w:val="0"/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Управления Алтайского края по культуре и архивному делу от  </w:t>
      </w:r>
      <w:r w:rsidRPr="007F20C9">
        <w:rPr>
          <w:b w:val="0"/>
          <w:sz w:val="28"/>
          <w:szCs w:val="28"/>
        </w:rPr>
        <w:br/>
        <w:t>31 мая 2018 года № 154 «Об утверждении Примерного положения об оплате труда работников краевых государственных бюджетных и автономных учреждений, подведомственных Министерству культуры Алтайского края»,</w:t>
      </w:r>
      <w:proofErr w:type="gramEnd"/>
    </w:p>
    <w:p w:rsidR="005101F2" w:rsidRPr="007F20C9" w:rsidRDefault="005101F2" w:rsidP="005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01F2" w:rsidRPr="007F20C9" w:rsidRDefault="005101F2" w:rsidP="0051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1. Утвердить положение о  системе оплаты труда работников муниципального бюджетного учреждения культуры «Культурно-информационный центр» </w:t>
      </w:r>
      <w:proofErr w:type="spellStart"/>
      <w:r w:rsidRPr="007F20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5101F2" w:rsidRPr="007F20C9" w:rsidRDefault="005101F2" w:rsidP="0051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района от 17.04.2020 № 177 «Об утверждении Положения о порядке </w:t>
      </w:r>
      <w:proofErr w:type="gramStart"/>
      <w:r w:rsidRPr="007F20C9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7F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0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hAnsi="Times New Roman" w:cs="Times New Roman"/>
          <w:sz w:val="28"/>
          <w:szCs w:val="28"/>
        </w:rPr>
        <w:t xml:space="preserve"> района» считать утратившим силу.</w:t>
      </w:r>
    </w:p>
    <w:p w:rsidR="005101F2" w:rsidRPr="007F20C9" w:rsidRDefault="005101F2" w:rsidP="0051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01.03.2022.</w:t>
      </w:r>
    </w:p>
    <w:p w:rsidR="005101F2" w:rsidRPr="007F20C9" w:rsidRDefault="005101F2" w:rsidP="005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1F2" w:rsidRPr="007F20C9" w:rsidRDefault="005101F2" w:rsidP="005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1F2" w:rsidRPr="007F20C9" w:rsidRDefault="005101F2" w:rsidP="005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7F20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20C9">
        <w:rPr>
          <w:rFonts w:ascii="Times New Roman" w:hAnsi="Times New Roman" w:cs="Times New Roman"/>
          <w:sz w:val="28"/>
          <w:szCs w:val="28"/>
        </w:rPr>
        <w:t xml:space="preserve">           П.И. Афанасьев</w:t>
      </w:r>
    </w:p>
    <w:p w:rsidR="005101F2" w:rsidRPr="007F20C9" w:rsidRDefault="005101F2" w:rsidP="0051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51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1F2" w:rsidRPr="007F20C9" w:rsidRDefault="005101F2">
      <w:pPr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3C1C" w:rsidRPr="007F20C9" w:rsidRDefault="006C3C1C" w:rsidP="00510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3D1A9D" w:rsidRPr="007F20C9" w:rsidRDefault="006C3C1C" w:rsidP="00510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6C3C1C" w:rsidRPr="007F20C9" w:rsidRDefault="006C3C1C" w:rsidP="00510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D1A9D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6C3C1C" w:rsidRPr="007F20C9" w:rsidRDefault="003D1A9D" w:rsidP="00510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F2" w:rsidRPr="007F20C9">
        <w:rPr>
          <w:rFonts w:ascii="Times New Roman" w:eastAsia="Times New Roman" w:hAnsi="Times New Roman" w:cs="Times New Roman"/>
          <w:sz w:val="28"/>
          <w:szCs w:val="28"/>
        </w:rPr>
        <w:t xml:space="preserve">  27.04.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F2" w:rsidRPr="007F2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01F2" w:rsidRPr="007F20C9">
        <w:rPr>
          <w:rFonts w:ascii="Times New Roman" w:eastAsia="Times New Roman" w:hAnsi="Times New Roman" w:cs="Times New Roman"/>
          <w:sz w:val="28"/>
          <w:szCs w:val="28"/>
        </w:rPr>
        <w:t xml:space="preserve">  238</w:t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D1A9D" w:rsidRPr="007F20C9" w:rsidRDefault="003D1A9D" w:rsidP="0051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A9D" w:rsidRPr="007F20C9" w:rsidRDefault="003D1A9D" w:rsidP="0051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A9D" w:rsidRPr="007F20C9" w:rsidRDefault="003D1A9D" w:rsidP="0051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51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C3C1C" w:rsidRPr="007F20C9" w:rsidRDefault="006C3C1C" w:rsidP="0051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о системе оплаты труда работников муниципального бюджетного учреждения культуры "Культурно-информаци</w:t>
      </w:r>
      <w:r w:rsidR="003D1A9D" w:rsidRPr="007F20C9">
        <w:rPr>
          <w:rFonts w:ascii="Times New Roman" w:eastAsia="Times New Roman" w:hAnsi="Times New Roman" w:cs="Times New Roman"/>
          <w:sz w:val="28"/>
          <w:szCs w:val="28"/>
        </w:rPr>
        <w:t xml:space="preserve">онный центр" </w:t>
      </w:r>
      <w:proofErr w:type="spellStart"/>
      <w:r w:rsidR="003D1A9D"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3D1A9D"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D1A9D" w:rsidRPr="007F20C9" w:rsidRDefault="003D1A9D" w:rsidP="0051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5101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D1A9D" w:rsidRPr="007F20C9" w:rsidRDefault="003D1A9D" w:rsidP="00A67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оплате труда работников Муниципального бюджетного учреждения культуры «Культурно-информационный центр»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«Положение»), разработано в соответствии с Трудовым кодексом Российской Федерации, регулирует порядок  условия оплаты труда и включает в себя: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порядок установления окладов (должностных окладов);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наименования, условия осуществления и </w:t>
      </w:r>
      <w:r w:rsidR="00090A93"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размеры выплат </w:t>
      </w:r>
      <w:r w:rsidR="0019086A" w:rsidRPr="007F20C9">
        <w:rPr>
          <w:rFonts w:ascii="Times New Roman" w:eastAsia="Times New Roman" w:hAnsi="Times New Roman" w:cs="Times New Roman"/>
          <w:sz w:val="28"/>
          <w:szCs w:val="28"/>
        </w:rPr>
        <w:t>компенсационного и</w:t>
      </w:r>
      <w:r w:rsidR="00090A93" w:rsidRPr="007F20C9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стимулирующего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характера, критерии их установления.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Система оплаты труда устанавливает:</w:t>
      </w:r>
      <w:r w:rsidR="0019086A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величины заработной платы от сложности выполняемых работ, количества и качества затраченного труда, </w:t>
      </w:r>
      <w:r w:rsidR="0019086A" w:rsidRPr="007F20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словий труда;</w:t>
      </w:r>
      <w:r w:rsidR="0019086A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к использованию различных видов стимулирования за качественный результат работ с учетом системы показателей качества муниципальной услуги, предусмотренных муниципальным заданием. 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работников Муниципального бюджетного учреждения культуры «Культурно-информационный центр»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</w:t>
      </w:r>
      <w:r w:rsidR="0086026D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026D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Учреждение) формируется на календарный год исходя из объема средств районного бюджета, направляемых на выплату заработной платы работникам.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оплате труда работников Учреждения утверждается постановлением Администрации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«Учредитель»).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Штатное расписание Учреждения согласовывается с Учредителем, утверждается его руководителем, и включает в себя все должности работников Учреждения, которые должны соответствовать уставным целям Учреждения.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Месячная заработная плата работников, полностью отработавших в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 w:rsidRPr="007F20C9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F20C9">
        <w:rPr>
          <w:rFonts w:ascii="Times New Roman" w:eastAsia="Times New Roman" w:hAnsi="Times New Roman" w:cs="Times New Roman"/>
          <w:sz w:val="28"/>
          <w:szCs w:val="28"/>
        </w:rPr>
        <w:t>, установленного действующим законодательством Российской Федерации.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труда работников Учреждения определяется трудовым договором исходя из условий, результативности труда, особенностей деятельности Учреждения и работника в соответствии с установленной системой оплаты труда.</w:t>
      </w:r>
    </w:p>
    <w:p w:rsidR="003D1A9D" w:rsidRPr="007F20C9" w:rsidRDefault="003D1A9D" w:rsidP="0051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510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Порядок и условия оплаты труда работников Учреждения</w:t>
      </w:r>
    </w:p>
    <w:p w:rsidR="003D1A9D" w:rsidRPr="007F20C9" w:rsidRDefault="003D1A9D" w:rsidP="0051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20C9">
        <w:rPr>
          <w:rFonts w:ascii="Times New Roman" w:eastAsia="Times New Roman" w:hAnsi="Times New Roman" w:cs="Times New Roman"/>
          <w:sz w:val="28"/>
          <w:szCs w:val="28"/>
        </w:rPr>
        <w:t>Оплата труда</w:t>
      </w:r>
      <w:r w:rsidR="0032601D" w:rsidRPr="007F20C9">
        <w:rPr>
          <w:rFonts w:ascii="Times New Roman" w:eastAsia="Times New Roman" w:hAnsi="Times New Roman" w:cs="Times New Roman"/>
          <w:sz w:val="28"/>
          <w:szCs w:val="28"/>
        </w:rPr>
        <w:t xml:space="preserve"> –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условиях, и иные выплаты компенсационного характера) и стимулирующие выплаты (доплаты и надбавки стимулирующего характера, премии и иные поощрительные выплаты</w:t>
      </w:r>
      <w:proofErr w:type="gramEnd"/>
      <w:r w:rsidR="0032601D" w:rsidRPr="007F20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 состоит из оклада (должностного оклада), </w:t>
      </w:r>
      <w:r w:rsidR="00090A93" w:rsidRPr="007F20C9">
        <w:rPr>
          <w:rFonts w:ascii="Times New Roman" w:eastAsia="Times New Roman" w:hAnsi="Times New Roman" w:cs="Times New Roman"/>
          <w:sz w:val="28"/>
          <w:szCs w:val="28"/>
        </w:rPr>
        <w:t>компенсационных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и стимулирующих выплат.</w:t>
      </w:r>
    </w:p>
    <w:p w:rsidR="0038195D" w:rsidRPr="007F20C9" w:rsidRDefault="0038195D" w:rsidP="0051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В целях обеспечения повышения уровня реального содержания заработной платы работникам Учреждения  производится индексация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Учреждения устанавливаются руководителем Учреждения на основании Приложения № 1 настоящего Положения. 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К окладу (должностному окладу) работников могут устанавливаться следующие повышающие коэффициенты: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повышающий коэффициент для </w:t>
      </w:r>
      <w:proofErr w:type="gramStart"/>
      <w:r w:rsidRPr="007F20C9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местности;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 работника Учреждения может устанавливаться с учетом уровня его профессиональной подготовленности, сложности, важности работы, степени самостоятельности и ответственности при выполнении поставленных задач и других факторов.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или отмене персонального повышающего коэффициента принимается директором Учреждения в отношении каждого конкретного работника. Персональный повышающий коэффициент, устанавливаемый работнику Учреждения трудовым договором, не может превышать 4,0.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 может быть установлен на определенный период времени.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Размер выплаты при применении персонального повышающего коэффициента к окладу (должностному окладу) определяется путем умножения размера оклада (должностного оклада) на персональный повышающий коэффициент.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окладу (должностному окладу) не образует новый оклад (должностной оклад) и не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учитывается при начислении компенсационных и стимулирующих выплат, устанавливаемых в процентном отношении к окладу (должностному окладу).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Размер и порядок установления выплат </w:t>
      </w:r>
      <w:r w:rsidR="00090A93" w:rsidRPr="007F20C9">
        <w:rPr>
          <w:rFonts w:ascii="Times New Roman" w:eastAsia="Times New Roman" w:hAnsi="Times New Roman" w:cs="Times New Roman"/>
          <w:sz w:val="28"/>
          <w:szCs w:val="28"/>
        </w:rPr>
        <w:t>стимулирующего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характера работникам Учреждения устанавливаются локальным нормативным актом Учреждения в соответствии с пунктом 3 настоящего Положения.</w:t>
      </w:r>
    </w:p>
    <w:p w:rsidR="00090A93" w:rsidRPr="007F20C9" w:rsidRDefault="00090A93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Размер и порядок установления выплат компенсационного характера работникам Учреждения устанавливаются</w:t>
      </w:r>
      <w:r w:rsidR="0042763F" w:rsidRPr="007F20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4 настоящего Положения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A9D" w:rsidRPr="007F20C9" w:rsidRDefault="003D1A9D" w:rsidP="003D1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D1A9D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</w:p>
    <w:p w:rsidR="003D1A9D" w:rsidRPr="007F20C9" w:rsidRDefault="003D1A9D" w:rsidP="005101F2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В пределах средств, предусмотренных на оплату труда, работникам Учреждения могут устанавливаться следующие выплаты стимулирующего характера: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ежемесячная выплата за выслугу лет;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премия по итогам работы;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единовременная (разовая) премия (к профессиональному празднику, юбилейным датам, по случаю присвоения почетных званий, награждения почетными грамотами, отраслевыми наградами).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Виды, размеры и условия осуществления выплат стимулирующего характера определяются Учреждением самостоятельно в пределах фонда оплаты труда, устанавливаются коллективным договором, соглашениями, локальными актами Учреждения в соответствии с утвержденным перечнем видов выплат стимулирующего характера. 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Размер выплат стимулирующего характера, кроме выплаты за выслугу лет, может определяться как в процентах к окладу (должностному окладу) работника, так и в абсолютных величинах.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Ежемесячная выплата за выслугу лет работникам Учреждения устанавливается в следующих размерах:</w:t>
      </w:r>
    </w:p>
    <w:p w:rsidR="003D1A9D" w:rsidRPr="007F20C9" w:rsidRDefault="003D1A9D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37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7"/>
      </w:tblGrid>
      <w:tr w:rsidR="003869E2" w:rsidRPr="007F20C9" w:rsidTr="003869E2">
        <w:tc>
          <w:tcPr>
            <w:tcW w:w="90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8997" w:type="dxa"/>
              <w:tblBorders>
                <w:right w:val="none" w:sz="0" w:space="0" w:color="auto"/>
              </w:tblBorders>
              <w:tblLook w:val="04A0"/>
            </w:tblPr>
            <w:tblGrid>
              <w:gridCol w:w="2390"/>
              <w:gridCol w:w="6607"/>
            </w:tblGrid>
            <w:tr w:rsidR="003869E2" w:rsidRPr="007F20C9" w:rsidTr="003869E2">
              <w:trPr>
                <w:trHeight w:val="635"/>
              </w:trPr>
              <w:tc>
                <w:tcPr>
                  <w:tcW w:w="2390" w:type="dxa"/>
                </w:tcPr>
                <w:p w:rsidR="003869E2" w:rsidRPr="007F20C9" w:rsidRDefault="003869E2" w:rsidP="003D1A9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</w:t>
                  </w:r>
                </w:p>
              </w:tc>
              <w:tc>
                <w:tcPr>
                  <w:tcW w:w="6607" w:type="dxa"/>
                </w:tcPr>
                <w:p w:rsidR="003869E2" w:rsidRPr="007F20C9" w:rsidRDefault="003869E2" w:rsidP="003D1A9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ежемесячной выплаты за выслугу лет (в процентах оклада (должностного оклада)</w:t>
                  </w:r>
                  <w:proofErr w:type="gramEnd"/>
                </w:p>
              </w:tc>
            </w:tr>
            <w:tr w:rsidR="003869E2" w:rsidRPr="007F20C9" w:rsidTr="003869E2">
              <w:trPr>
                <w:trHeight w:val="317"/>
              </w:trPr>
              <w:tc>
                <w:tcPr>
                  <w:tcW w:w="2390" w:type="dxa"/>
                </w:tcPr>
                <w:p w:rsidR="003869E2" w:rsidRPr="007F20C9" w:rsidRDefault="003869E2" w:rsidP="003D1A9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 года до 5 лет</w:t>
                  </w:r>
                </w:p>
              </w:tc>
              <w:tc>
                <w:tcPr>
                  <w:tcW w:w="6607" w:type="dxa"/>
                </w:tcPr>
                <w:p w:rsidR="003869E2" w:rsidRPr="007F20C9" w:rsidRDefault="003869E2" w:rsidP="003D1A9D">
                  <w:pPr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10%</w:t>
                  </w:r>
                </w:p>
              </w:tc>
            </w:tr>
            <w:tr w:rsidR="003869E2" w:rsidRPr="007F20C9" w:rsidTr="003869E2">
              <w:trPr>
                <w:trHeight w:val="317"/>
              </w:trPr>
              <w:tc>
                <w:tcPr>
                  <w:tcW w:w="2390" w:type="dxa"/>
                </w:tcPr>
                <w:p w:rsidR="003869E2" w:rsidRPr="007F20C9" w:rsidRDefault="003869E2" w:rsidP="003D1A9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5 до 10 лет</w:t>
                  </w:r>
                </w:p>
              </w:tc>
              <w:tc>
                <w:tcPr>
                  <w:tcW w:w="6607" w:type="dxa"/>
                  <w:vAlign w:val="center"/>
                </w:tcPr>
                <w:p w:rsidR="003869E2" w:rsidRPr="007F20C9" w:rsidRDefault="003869E2" w:rsidP="003D1A9D">
                  <w:pPr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15%</w:t>
                  </w:r>
                </w:p>
              </w:tc>
            </w:tr>
            <w:tr w:rsidR="003869E2" w:rsidRPr="007F20C9" w:rsidTr="003869E2">
              <w:trPr>
                <w:trHeight w:val="333"/>
              </w:trPr>
              <w:tc>
                <w:tcPr>
                  <w:tcW w:w="2390" w:type="dxa"/>
                </w:tcPr>
                <w:p w:rsidR="003869E2" w:rsidRPr="007F20C9" w:rsidRDefault="003869E2" w:rsidP="003D1A9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10 до 15 лет</w:t>
                  </w:r>
                </w:p>
              </w:tc>
              <w:tc>
                <w:tcPr>
                  <w:tcW w:w="6607" w:type="dxa"/>
                </w:tcPr>
                <w:p w:rsidR="003869E2" w:rsidRPr="007F20C9" w:rsidRDefault="003869E2" w:rsidP="003D1A9D">
                  <w:pPr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20%</w:t>
                  </w:r>
                </w:p>
              </w:tc>
            </w:tr>
            <w:tr w:rsidR="003869E2" w:rsidRPr="007F20C9" w:rsidTr="003869E2">
              <w:trPr>
                <w:trHeight w:val="145"/>
              </w:trPr>
              <w:tc>
                <w:tcPr>
                  <w:tcW w:w="2390" w:type="dxa"/>
                </w:tcPr>
                <w:p w:rsidR="003869E2" w:rsidRPr="007F20C9" w:rsidRDefault="003869E2" w:rsidP="003D1A9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15 лет</w:t>
                  </w:r>
                </w:p>
              </w:tc>
              <w:tc>
                <w:tcPr>
                  <w:tcW w:w="6607" w:type="dxa"/>
                </w:tcPr>
                <w:p w:rsidR="003869E2" w:rsidRPr="007F20C9" w:rsidRDefault="003869E2" w:rsidP="003D1A9D">
                  <w:pPr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20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30%</w:t>
                  </w:r>
                </w:p>
              </w:tc>
            </w:tr>
          </w:tbl>
          <w:p w:rsidR="003869E2" w:rsidRPr="007F20C9" w:rsidRDefault="003869E2" w:rsidP="003D1A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69E2" w:rsidRPr="007F20C9" w:rsidTr="003869E2">
        <w:tc>
          <w:tcPr>
            <w:tcW w:w="90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2" w:rsidRPr="007F20C9" w:rsidRDefault="003869E2" w:rsidP="003D1A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69E2" w:rsidRPr="007F20C9" w:rsidTr="003869E2">
        <w:tc>
          <w:tcPr>
            <w:tcW w:w="90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2" w:rsidRPr="007F20C9" w:rsidRDefault="003869E2" w:rsidP="003D1A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69E2" w:rsidRPr="007F20C9" w:rsidTr="003869E2">
        <w:tc>
          <w:tcPr>
            <w:tcW w:w="90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2" w:rsidRPr="007F20C9" w:rsidRDefault="003869E2" w:rsidP="003D1A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Работникам Учреждения из числа специалистов и руководителей устанавливается  надбавка за стаж работы в учреждениях культуры в должностях специалистов и руководителей. 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Изменение размеров выплаты за выслугу лет производится со дня достижения стажа, дающего право на увеличение надбавки, если документы,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подтверждающие стаж работы, находятся в Учреждении, или со дня представления необходимого документа, подтверждающего стаж.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Премирование работников Учреждения по итогам работы осуществляется в порядке и размерах, установленных локальными актами Учреждения, в пределах имеющихся средств фонда оплаты труда и максимальными размерами не ограничивается.</w:t>
      </w:r>
    </w:p>
    <w:p w:rsidR="00AC35B5" w:rsidRPr="007F20C9" w:rsidRDefault="00AC35B5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Распределение премиального фонда осуществляется комиссией по распределению премиального фонда (далее</w:t>
      </w:r>
      <w:r w:rsidR="0086026D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026D"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Комиссия) один раз в месяц по результатам работы за текущий месяц. Состав и численность Комиссии утверждается приказом директора Учреждения. 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Премии по итогам работы (за месяц, квартал, полугодие, 9 месяцев, год) выплачиваются с целью поощрения работников за общие результаты труда по итогам работы за установленный период.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Премирование работников осуществляется в соответствии с критериями</w:t>
      </w:r>
      <w:r w:rsidR="00587AA1" w:rsidRPr="007F20C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C33A85" w:rsidRPr="007F20C9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87AA1" w:rsidRPr="007F20C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33A85" w:rsidRPr="007F20C9">
        <w:rPr>
          <w:rFonts w:ascii="Times New Roman" w:eastAsia="Times New Roman" w:hAnsi="Times New Roman" w:cs="Times New Roman"/>
          <w:sz w:val="28"/>
          <w:szCs w:val="28"/>
        </w:rPr>
        <w:t>-5</w:t>
      </w:r>
      <w:r w:rsidR="00587AA1" w:rsidRPr="007F20C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Pr="007F20C9">
        <w:rPr>
          <w:rFonts w:ascii="Times New Roman" w:eastAsia="Times New Roman" w:hAnsi="Times New Roman" w:cs="Times New Roman"/>
          <w:sz w:val="28"/>
          <w:szCs w:val="28"/>
        </w:rPr>
        <w:t>. При разработке критериев учитываются следующие показатели: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добросовестное исполнение работником своих должностных обязанностей в соответствующем периоде;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наличие поощрений и (или) положительных отзывов о деятельности работника;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инициативность и применение в работе современных форм и методов организации труда.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При установлении работнику выплат стимулирующего характера руководитель Учреждения может учитывать иные показатели в соответствии со спецификой Учреждения.</w:t>
      </w:r>
    </w:p>
    <w:p w:rsidR="00AC35B5" w:rsidRPr="007F20C9" w:rsidRDefault="00AC35B5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Работники, имеющие дисциплинарное взыскание, не подлежат премированию в течение срока действия дисциплинарного взыскания.</w:t>
      </w:r>
    </w:p>
    <w:p w:rsidR="003D1A9D" w:rsidRPr="007F20C9" w:rsidRDefault="003D1A9D" w:rsidP="00A6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9D" w:rsidRPr="007F20C9" w:rsidRDefault="0042763F" w:rsidP="0086026D">
      <w:pPr>
        <w:pStyle w:val="a4"/>
        <w:numPr>
          <w:ilvl w:val="0"/>
          <w:numId w:val="4"/>
        </w:numPr>
        <w:shd w:val="clear" w:color="auto" w:fill="FFFFFF"/>
        <w:tabs>
          <w:tab w:val="clear" w:pos="1211"/>
          <w:tab w:val="num" w:pos="0"/>
        </w:tabs>
        <w:ind w:left="0" w:firstLine="0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 xml:space="preserve">Порядок и условия установления выплат </w:t>
      </w:r>
    </w:p>
    <w:p w:rsidR="0042763F" w:rsidRPr="007F20C9" w:rsidRDefault="0042763F" w:rsidP="003869E2">
      <w:pPr>
        <w:pStyle w:val="a4"/>
        <w:shd w:val="clear" w:color="auto" w:fill="FFFFFF"/>
        <w:ind w:left="0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>компенсационного характера</w:t>
      </w:r>
    </w:p>
    <w:p w:rsidR="003D1A9D" w:rsidRPr="007F20C9" w:rsidRDefault="003D1A9D" w:rsidP="0086026D">
      <w:pPr>
        <w:pStyle w:val="a4"/>
        <w:shd w:val="clear" w:color="auto" w:fill="FFFFFF"/>
        <w:ind w:left="0"/>
        <w:rPr>
          <w:sz w:val="28"/>
          <w:szCs w:val="28"/>
        </w:rPr>
      </w:pP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>С учетом условий труда в соответствии с трудовым законодательством Российской Федерации работникам Учреждения устанавливаются выплаты компенсационного характера.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>В соответствии с Перечнем видов выплат компенсационного характера работникам Учреждения осуществляются следующие выплаты компенсационного характера:</w:t>
      </w:r>
    </w:p>
    <w:p w:rsidR="0032601D" w:rsidRPr="007F20C9" w:rsidRDefault="00AC35B5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>а</w:t>
      </w:r>
      <w:r w:rsidR="0042763F" w:rsidRPr="007F20C9">
        <w:rPr>
          <w:sz w:val="28"/>
          <w:szCs w:val="28"/>
        </w:rPr>
        <w:t>)</w:t>
      </w:r>
      <w:r w:rsidR="0032601D" w:rsidRPr="007F20C9">
        <w:rPr>
          <w:sz w:val="28"/>
          <w:szCs w:val="28"/>
          <w:shd w:val="clear" w:color="auto" w:fill="FFFFFF"/>
        </w:rPr>
        <w:t xml:space="preserve">  выплаты работникам, занятым на работах с вредными и (или) опасными условиями труда;</w:t>
      </w:r>
    </w:p>
    <w:p w:rsidR="0042763F" w:rsidRPr="007F20C9" w:rsidRDefault="0032601D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>б)</w:t>
      </w:r>
      <w:r w:rsidR="0042763F" w:rsidRPr="007F20C9">
        <w:rPr>
          <w:sz w:val="28"/>
          <w:szCs w:val="28"/>
        </w:rPr>
        <w:t xml:space="preserve"> выплаты за работу в местностях с особыми климатическими условиями;</w:t>
      </w:r>
    </w:p>
    <w:p w:rsidR="0042763F" w:rsidRPr="007F20C9" w:rsidRDefault="0032601D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>в</w:t>
      </w:r>
      <w:r w:rsidR="0042763F" w:rsidRPr="007F20C9">
        <w:rPr>
          <w:sz w:val="28"/>
          <w:szCs w:val="28"/>
        </w:rPr>
        <w:t>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lastRenderedPageBreak/>
        <w:t xml:space="preserve">Размер выплаты компенсационного характера, за исключением оплаты за работу в выходные и нерабочие праздничные дни, оплаты сверхурочной работы, определяется путем умножения оклада (должностного оклада) на соответствующий процент, установленный руководителем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>чреждения в трудовом договоре.</w:t>
      </w:r>
    </w:p>
    <w:p w:rsidR="0032601D" w:rsidRPr="007F20C9" w:rsidRDefault="0032601D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  <w:shd w:val="clear" w:color="auto" w:fill="FFFFFF"/>
        </w:rPr>
        <w:t>Оплата труда работников, занятых на работах с вредными и (или) опасными условиями труда, производится в повышенном размере по результатам специальной оценки условий труда. Размер повышения оплаты труда работникам, занятым на работах с вредными и (или) опасными условиями труда, составляет не менее 4 процентов оклада, установленного для различных видов работ с нормальными условиями труда, в соответствии со статьей 147 Трудового кодекса Российской Федерации.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 Оплата за работу в местностях с особыми климатическими условиями производится в соответствии со статьей 148 Трудового кодекса Российской Федерации (Собрание законодательства Российской Федерации, 2002,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1, ст. 3; 2006, </w:t>
      </w:r>
      <w:r w:rsidR="0086026D" w:rsidRPr="007F20C9">
        <w:rPr>
          <w:sz w:val="28"/>
          <w:szCs w:val="28"/>
        </w:rPr>
        <w:t xml:space="preserve">№ </w:t>
      </w:r>
      <w:r w:rsidRPr="007F20C9">
        <w:rPr>
          <w:sz w:val="28"/>
          <w:szCs w:val="28"/>
        </w:rPr>
        <w:t> 27, ст. 2878) и включает в себя районные коэффициенты.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Оплата за работу в ночное время производится работникам учреждения за каждый час работы в ночное время в соответствии со статьей 154 Трудового кодекса Российской Федерации (Собрание законодательства Российской Федерации, 2002,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1, ст. 3; </w:t>
      </w:r>
      <w:proofErr w:type="gramStart"/>
      <w:r w:rsidRPr="007F20C9">
        <w:rPr>
          <w:sz w:val="28"/>
          <w:szCs w:val="28"/>
        </w:rPr>
        <w:t xml:space="preserve">2006,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27, ст. 2878) и постановлением Правительства Российской Федерации от 22 июля 2008 г.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554 "О минимальном размере повышения оплаты труда за работу в ночное время" (Собрание законодательства Российской Федерации, 2008,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> 30, ст. 3640).</w:t>
      </w:r>
      <w:proofErr w:type="gramEnd"/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proofErr w:type="gramStart"/>
      <w:r w:rsidRPr="007F20C9">
        <w:rPr>
          <w:sz w:val="28"/>
          <w:szCs w:val="28"/>
        </w:rPr>
        <w:t>Минимальный размер выплаты за работу в ночное время (с 22 часов до 6 часов) составляет 20 процентов оклада (должностного оклада), рассчитанного за час работы) за каждый час работы в ночное время.</w:t>
      </w:r>
      <w:proofErr w:type="gramEnd"/>
      <w:r w:rsidRPr="007F20C9">
        <w:rPr>
          <w:sz w:val="28"/>
          <w:szCs w:val="28"/>
        </w:rPr>
        <w:t xml:space="preserve"> Конкретные размеры оплаты за работу в ночное время устанавливаются коллективным договором, соглашениями или локальным нормативным актом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>чреждения.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Оплата за сверхурочную работу устанавливается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 (Собрание законодательства Российской Федерации, 2002,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1, ст. 3; 2006,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27, ст. 2878; 2017,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> 25, ст. 3594).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По желанию работника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>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Оплата за работу в выходные и нерабочие праздничные дни производится работникам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 xml:space="preserve">чреждения, привлекавшимся к работе в выходные и нерабочие праздничные дни, в соответствии со статьей 153 Трудового кодекса Российской Федерации (Собрание законодательства Российской Федерации, 2002,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1, ст. 3; 2006,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27, ст. 2878; 2008, </w:t>
      </w:r>
      <w:r w:rsidR="0086026D" w:rsidRPr="007F20C9">
        <w:rPr>
          <w:sz w:val="28"/>
          <w:szCs w:val="28"/>
        </w:rPr>
        <w:t xml:space="preserve">№ </w:t>
      </w:r>
      <w:r w:rsidRPr="007F20C9">
        <w:rPr>
          <w:sz w:val="28"/>
          <w:szCs w:val="28"/>
        </w:rPr>
        <w:t xml:space="preserve">9, ст. 812; 2017, </w:t>
      </w:r>
      <w:r w:rsidR="0086026D" w:rsidRPr="007F20C9">
        <w:rPr>
          <w:sz w:val="28"/>
          <w:szCs w:val="28"/>
        </w:rPr>
        <w:t xml:space="preserve">№ </w:t>
      </w:r>
      <w:r w:rsidRPr="007F20C9">
        <w:rPr>
          <w:sz w:val="28"/>
          <w:szCs w:val="28"/>
        </w:rPr>
        <w:t> 25, ст. 3594).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proofErr w:type="gramStart"/>
      <w:r w:rsidRPr="007F20C9">
        <w:rPr>
          <w:sz w:val="28"/>
          <w:szCs w:val="28"/>
        </w:rPr>
        <w:t xml:space="preserve">Размер выплаты за работу в выходные и нерабочие праздничные дни составляет не менее одинарной дневной ставки сверх оклада (должностного </w:t>
      </w:r>
      <w:r w:rsidRPr="007F20C9">
        <w:rPr>
          <w:sz w:val="28"/>
          <w:szCs w:val="28"/>
        </w:rPr>
        <w:lastRenderedPageBreak/>
        <w:t>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времени.</w:t>
      </w:r>
      <w:proofErr w:type="gramEnd"/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Оплата в повышенном размере производится всем работникам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 xml:space="preserve">чреждения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дня, в повышенном размере оплачиваются часы, фактически отработанные в выходной или нерабочий праздничный день (от 0 часов до 24 часов). По желанию работника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>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2763F" w:rsidRPr="007F20C9" w:rsidRDefault="0042763F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работникам </w:t>
      </w:r>
      <w:r w:rsidR="00AC35B5" w:rsidRPr="007F20C9">
        <w:rPr>
          <w:sz w:val="28"/>
          <w:szCs w:val="28"/>
        </w:rPr>
        <w:t>У</w:t>
      </w:r>
      <w:r w:rsidRPr="007F20C9">
        <w:rPr>
          <w:sz w:val="28"/>
          <w:szCs w:val="28"/>
        </w:rPr>
        <w:t>чреждени</w:t>
      </w:r>
      <w:r w:rsidR="00AC35B5" w:rsidRPr="007F20C9">
        <w:rPr>
          <w:sz w:val="28"/>
          <w:szCs w:val="28"/>
        </w:rPr>
        <w:t>я</w:t>
      </w:r>
      <w:r w:rsidRPr="007F20C9">
        <w:rPr>
          <w:sz w:val="28"/>
          <w:szCs w:val="28"/>
        </w:rPr>
        <w:t xml:space="preserve"> производится доплата в соответствии со статьей 151 Трудового кодекса Российской Федерации (Собрание законодательства Российской Федерации, 2002,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 xml:space="preserve"> 1, ст. 3; 2006, </w:t>
      </w:r>
      <w:r w:rsidR="0086026D" w:rsidRPr="007F20C9">
        <w:rPr>
          <w:sz w:val="28"/>
          <w:szCs w:val="28"/>
        </w:rPr>
        <w:t>№</w:t>
      </w:r>
      <w:r w:rsidRPr="007F20C9">
        <w:rPr>
          <w:sz w:val="28"/>
          <w:szCs w:val="28"/>
        </w:rPr>
        <w:t> 27, ст. 2878). Размер доплаты и срок, на который она устанавливается, определяются по письменному соглашению сторон трудового договора с учетом содержания и (или) объема дополнительной работы.</w:t>
      </w:r>
    </w:p>
    <w:p w:rsidR="0086026D" w:rsidRPr="007F20C9" w:rsidRDefault="0038195D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F20C9">
        <w:rPr>
          <w:sz w:val="28"/>
          <w:szCs w:val="28"/>
        </w:rPr>
        <w:t xml:space="preserve">В соответствии с постановлением Конституционного Суда РФ от 11.04.2019 № 17-П, повышенная оплата сверхурочной работы, работы в ночное время, выходные и нерабочие праздничные дни не включаются в состав заработной платы работника, не превышающей минимальный </w:t>
      </w:r>
      <w:proofErr w:type="gramStart"/>
      <w:r w:rsidRPr="007F20C9">
        <w:rPr>
          <w:sz w:val="28"/>
          <w:szCs w:val="28"/>
        </w:rPr>
        <w:t>размер оплаты труда</w:t>
      </w:r>
      <w:proofErr w:type="gramEnd"/>
      <w:r w:rsidRPr="007F20C9">
        <w:rPr>
          <w:sz w:val="28"/>
          <w:szCs w:val="28"/>
        </w:rPr>
        <w:t>, установленный действующим законодательством РФ (далее – МРОТ). Данные выплаты начисляются после установления заработной платы не ниже МРОТ.</w:t>
      </w:r>
    </w:p>
    <w:p w:rsidR="003D1A9D" w:rsidRPr="007F20C9" w:rsidRDefault="003D1A9D" w:rsidP="005101F2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86026D" w:rsidRPr="007F20C9" w:rsidRDefault="006C3C1C" w:rsidP="005101F2">
      <w:pPr>
        <w:pStyle w:val="a4"/>
        <w:numPr>
          <w:ilvl w:val="0"/>
          <w:numId w:val="8"/>
        </w:numPr>
        <w:shd w:val="clear" w:color="auto" w:fill="FFFFFF"/>
        <w:spacing w:line="270" w:lineRule="atLeast"/>
        <w:ind w:left="0" w:firstLine="709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>Условия выплаты материальной помощи</w:t>
      </w:r>
    </w:p>
    <w:p w:rsidR="003869E2" w:rsidRPr="007F20C9" w:rsidRDefault="003869E2" w:rsidP="005101F2">
      <w:pPr>
        <w:pStyle w:val="a4"/>
        <w:shd w:val="clear" w:color="auto" w:fill="FFFFFF"/>
        <w:spacing w:line="270" w:lineRule="atLeast"/>
        <w:ind w:left="0" w:firstLine="709"/>
        <w:rPr>
          <w:sz w:val="28"/>
          <w:szCs w:val="28"/>
        </w:rPr>
      </w:pP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Из фонда оплаты труда работникам Учреждения может быть оказана материальная помощь в следующих случаях: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- смерти самого работника - в размере 5000 рублей;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- смерти близких родственников работника (родителей, детей, мужа (жены) на основании свидетельства  о смерти - в размере 3000 рублей;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- утрате или повреждении жилья в случаях пожара, наводнения или иного стихийного бедствия, подтвержденных документом, содержащим сведения об утрате или повреждении жилья в связи с указанными обстоятельствами - в размере 3000 рублей.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    Решение об оказании материальной помощи работникам и ее конкретных размерах принимает руководитель Учреждения на основании письменных заявлений работников и настоящего Положения.</w:t>
      </w:r>
    </w:p>
    <w:p w:rsidR="003D1A9D" w:rsidRPr="007F20C9" w:rsidRDefault="003D1A9D" w:rsidP="003D1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01C" w:rsidRPr="007F20C9" w:rsidRDefault="0009001C" w:rsidP="003D1A9D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bCs/>
          <w:sz w:val="28"/>
          <w:szCs w:val="28"/>
        </w:rPr>
        <w:t xml:space="preserve">Условия оплаты труда руководителя </w:t>
      </w:r>
      <w:r w:rsidRPr="007F20C9">
        <w:rPr>
          <w:rFonts w:ascii="Times New Roman" w:hAnsi="Times New Roman" w:cs="Times New Roman"/>
          <w:sz w:val="28"/>
          <w:szCs w:val="28"/>
        </w:rPr>
        <w:t>МБУК «КИЦ»</w:t>
      </w:r>
    </w:p>
    <w:p w:rsidR="003D1A9D" w:rsidRPr="007F20C9" w:rsidRDefault="003D1A9D" w:rsidP="003D1A9D">
      <w:pPr>
        <w:pStyle w:val="ConsPlusNormal"/>
        <w:tabs>
          <w:tab w:val="left" w:pos="0"/>
        </w:tabs>
        <w:ind w:left="567"/>
        <w:outlineLvl w:val="2"/>
        <w:rPr>
          <w:rFonts w:ascii="Times New Roman" w:hAnsi="Times New Roman" w:cs="Times New Roman"/>
          <w:sz w:val="28"/>
          <w:szCs w:val="28"/>
        </w:rPr>
      </w:pPr>
    </w:p>
    <w:p w:rsidR="0009001C" w:rsidRPr="007F20C9" w:rsidRDefault="0009001C" w:rsidP="0051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Оплата труда руководителя Учреждения устанавливается при заключении с ним трудового договора и состоит из оклада, компенсационных и стимулирующих выплат. </w:t>
      </w:r>
    </w:p>
    <w:p w:rsidR="0009001C" w:rsidRPr="007F20C9" w:rsidRDefault="0009001C" w:rsidP="0051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Оклад руководителя Учреждения устанавливаются в соответствии с приложением 1 к настоящему Положению.</w:t>
      </w:r>
    </w:p>
    <w:p w:rsidR="0009001C" w:rsidRPr="007F20C9" w:rsidRDefault="0009001C" w:rsidP="005101F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Повышающие коэффициенты, предусмотренные </w:t>
      </w:r>
      <w:hyperlink r:id="rId8" w:history="1">
        <w:r w:rsidRPr="007F20C9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7F20C9">
        <w:rPr>
          <w:rFonts w:ascii="Times New Roman" w:hAnsi="Times New Roman" w:cs="Times New Roman"/>
          <w:sz w:val="28"/>
          <w:szCs w:val="28"/>
        </w:rPr>
        <w:t xml:space="preserve">2 настоящего Положения, доплаты и надбавки компенсационного характера, предусмотренные </w:t>
      </w:r>
      <w:hyperlink r:id="rId9" w:history="1">
        <w:r w:rsidRPr="007F20C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F20C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стимулирующие выплаты, предусмотренные </w:t>
      </w:r>
      <w:hyperlink r:id="rId10" w:history="1">
        <w:r w:rsidRPr="007F20C9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7F20C9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при заключении с ним трудового договора по согласованию с Комитетом.</w:t>
      </w:r>
    </w:p>
    <w:p w:rsidR="006C3C1C" w:rsidRPr="007F20C9" w:rsidRDefault="006C3C1C" w:rsidP="00510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9D" w:rsidRPr="007F20C9" w:rsidRDefault="003D1A9D">
      <w:pPr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3C1C" w:rsidRPr="007F20C9" w:rsidRDefault="00AC35B5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системе оплаты труда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работников муниципального бюджетного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учреждения культуры "Культурно-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онный центр" </w:t>
      </w:r>
      <w:proofErr w:type="spellStart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26D" w:rsidRPr="007F20C9" w:rsidRDefault="0086026D" w:rsidP="003D1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26D" w:rsidRPr="007F20C9" w:rsidRDefault="0086026D" w:rsidP="003D1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D1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Размеры минимальных окладов (должностных окладов) работников Учреждения</w:t>
      </w:r>
    </w:p>
    <w:p w:rsidR="00FF0337" w:rsidRPr="007F20C9" w:rsidRDefault="00FF0337" w:rsidP="003D1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26D" w:rsidRPr="007F20C9" w:rsidRDefault="0086026D" w:rsidP="008602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1. </w:t>
      </w:r>
      <w:r w:rsidR="006C3C1C" w:rsidRPr="007F20C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C3C1C" w:rsidRPr="007F20C9" w:rsidRDefault="0086026D" w:rsidP="0086026D">
      <w:pPr>
        <w:pStyle w:val="a4"/>
        <w:shd w:val="clear" w:color="auto" w:fill="FFFFFF"/>
        <w:ind w:left="0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 xml:space="preserve">  </w:t>
      </w:r>
      <w:r w:rsidR="006C3C1C" w:rsidRPr="007F20C9">
        <w:rPr>
          <w:sz w:val="28"/>
          <w:szCs w:val="28"/>
        </w:rPr>
        <w:t>«Должности работников культуры высшего звена»</w:t>
      </w:r>
    </w:p>
    <w:p w:rsidR="003D1A9D" w:rsidRPr="007F20C9" w:rsidRDefault="003D1A9D" w:rsidP="00FF0337">
      <w:pPr>
        <w:pStyle w:val="a4"/>
        <w:shd w:val="clear" w:color="auto" w:fill="FFFFFF"/>
        <w:ind w:left="426"/>
        <w:rPr>
          <w:sz w:val="28"/>
          <w:szCs w:val="28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885"/>
        <w:gridCol w:w="5472"/>
        <w:gridCol w:w="3517"/>
      </w:tblGrid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8" w:type="dxa"/>
          </w:tcPr>
          <w:p w:rsidR="006C3C1C" w:rsidRPr="007F20C9" w:rsidRDefault="006C3C1C" w:rsidP="00FF0337">
            <w:pPr>
              <w:ind w:lef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оклада (должностного оклада)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«КИЦ»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по </w:t>
            </w:r>
            <w:proofErr w:type="spellStart"/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библиотечной деятельности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FF033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3615" w:type="dxa"/>
          </w:tcPr>
          <w:p w:rsidR="006C3C1C" w:rsidRPr="007F20C9" w:rsidRDefault="006C3C1C" w:rsidP="00FF033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</w:tr>
    </w:tbl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FF0337" w:rsidP="00FF0337">
      <w:pPr>
        <w:pStyle w:val="a4"/>
        <w:shd w:val="clear" w:color="auto" w:fill="FFFFFF"/>
        <w:ind w:left="0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 xml:space="preserve">2. </w:t>
      </w:r>
      <w:r w:rsidR="006C3C1C" w:rsidRPr="007F20C9">
        <w:rPr>
          <w:sz w:val="28"/>
          <w:szCs w:val="28"/>
        </w:rPr>
        <w:t xml:space="preserve">Профессиональная квалификационная группа </w:t>
      </w:r>
    </w:p>
    <w:p w:rsidR="00D94650" w:rsidRPr="007F20C9" w:rsidRDefault="006C3C1C" w:rsidP="00FF0337">
      <w:pPr>
        <w:pStyle w:val="a4"/>
        <w:shd w:val="clear" w:color="auto" w:fill="FFFFFF"/>
        <w:ind w:left="0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 xml:space="preserve">«Должности работников культуры обособленных подразделений </w:t>
      </w:r>
    </w:p>
    <w:p w:rsidR="006C3C1C" w:rsidRPr="007F20C9" w:rsidRDefault="006C3C1C" w:rsidP="00FF0337">
      <w:pPr>
        <w:pStyle w:val="a4"/>
        <w:shd w:val="clear" w:color="auto" w:fill="FFFFFF"/>
        <w:ind w:left="0"/>
        <w:jc w:val="center"/>
        <w:rPr>
          <w:sz w:val="28"/>
          <w:szCs w:val="28"/>
        </w:rPr>
      </w:pPr>
      <w:r w:rsidRPr="007F20C9">
        <w:rPr>
          <w:sz w:val="28"/>
          <w:szCs w:val="28"/>
        </w:rPr>
        <w:t>клубной системы»</w:t>
      </w:r>
    </w:p>
    <w:p w:rsidR="00FF0337" w:rsidRPr="007F20C9" w:rsidRDefault="00FF0337" w:rsidP="00FF0337">
      <w:pPr>
        <w:pStyle w:val="a4"/>
        <w:shd w:val="clear" w:color="auto" w:fill="FFFFFF"/>
        <w:ind w:left="426"/>
        <w:rPr>
          <w:sz w:val="28"/>
          <w:szCs w:val="28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910"/>
        <w:gridCol w:w="5425"/>
        <w:gridCol w:w="3539"/>
      </w:tblGrid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8" w:type="dxa"/>
          </w:tcPr>
          <w:p w:rsidR="006C3C1C" w:rsidRPr="007F20C9" w:rsidRDefault="006C3C1C" w:rsidP="00FF033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45" w:type="dxa"/>
          </w:tcPr>
          <w:p w:rsidR="006C3C1C" w:rsidRPr="007F20C9" w:rsidRDefault="006C3C1C" w:rsidP="00FF0337">
            <w:pPr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оклада (должностного оклада)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СК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автоклубом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Хормейстер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Балетмейстер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8" w:type="dxa"/>
          </w:tcPr>
          <w:p w:rsidR="006C3C1C" w:rsidRPr="007F20C9" w:rsidRDefault="006C3C1C" w:rsidP="003D1A9D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3645" w:type="dxa"/>
          </w:tcPr>
          <w:p w:rsidR="006C3C1C" w:rsidRPr="007F20C9" w:rsidRDefault="006C3C1C" w:rsidP="003D1A9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</w:tr>
    </w:tbl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37" w:rsidRPr="007F20C9" w:rsidRDefault="00D94650" w:rsidP="00FF033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>3</w:t>
      </w:r>
      <w:r w:rsidR="00FF0337" w:rsidRPr="007F20C9">
        <w:rPr>
          <w:rFonts w:ascii="Times New Roman" w:hAnsi="Times New Roman" w:cs="Times New Roman"/>
          <w:sz w:val="28"/>
          <w:szCs w:val="28"/>
        </w:rPr>
        <w:t xml:space="preserve">. </w:t>
      </w:r>
      <w:r w:rsidR="006C3C1C" w:rsidRPr="007F20C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C3C1C" w:rsidRPr="007F20C9" w:rsidRDefault="006C3C1C" w:rsidP="00FF033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lastRenderedPageBreak/>
        <w:t xml:space="preserve"> «Должности работников культуры обособленных подразделений библиотечной деятельности»</w:t>
      </w:r>
    </w:p>
    <w:p w:rsidR="006C3C1C" w:rsidRPr="007F20C9" w:rsidRDefault="006C3C1C" w:rsidP="00FF0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5" w:type="dxa"/>
        <w:tblLook w:val="04A0"/>
      </w:tblPr>
      <w:tblGrid>
        <w:gridCol w:w="884"/>
        <w:gridCol w:w="5135"/>
        <w:gridCol w:w="3495"/>
      </w:tblGrid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pStyle w:val="a4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116"/>
              <w:jc w:val="center"/>
              <w:rPr>
                <w:b/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134" w:hanging="47"/>
              <w:jc w:val="center"/>
              <w:rPr>
                <w:b/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Минимальный размер оклада (должностного оклада)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pStyle w:val="a4"/>
              <w:ind w:left="0" w:hanging="126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Заведующая модельной сельской библиотекой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134" w:hanging="4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10500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pStyle w:val="a4"/>
              <w:ind w:left="0" w:hanging="126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b/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Заведующая сельской библиотекой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134" w:hanging="4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9500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pStyle w:val="a4"/>
              <w:ind w:left="0" w:hanging="126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b/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Заведующая детской  библиотекой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134" w:hanging="4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D1A9D">
            <w:pPr>
              <w:pStyle w:val="a4"/>
              <w:ind w:left="0" w:hanging="126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134" w:hanging="4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9000</w:t>
            </w:r>
          </w:p>
        </w:tc>
      </w:tr>
    </w:tbl>
    <w:p w:rsidR="006C3C1C" w:rsidRPr="007F20C9" w:rsidRDefault="006C3C1C" w:rsidP="0038195D">
      <w:pPr>
        <w:pStyle w:val="a4"/>
        <w:shd w:val="clear" w:color="auto" w:fill="FFFFFF"/>
        <w:ind w:left="426"/>
        <w:rPr>
          <w:b/>
          <w:sz w:val="28"/>
          <w:szCs w:val="28"/>
        </w:rPr>
      </w:pPr>
    </w:p>
    <w:p w:rsidR="006C3C1C" w:rsidRPr="007F20C9" w:rsidRDefault="00D94650" w:rsidP="00D94650">
      <w:pPr>
        <w:shd w:val="clear" w:color="auto" w:fill="FFFFFF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F20C9">
        <w:rPr>
          <w:rFonts w:ascii="Times New Roman" w:hAnsi="Times New Roman" w:cs="Times New Roman"/>
          <w:sz w:val="28"/>
          <w:szCs w:val="28"/>
        </w:rPr>
        <w:t xml:space="preserve">4. </w:t>
      </w:r>
      <w:r w:rsidR="006C3C1C" w:rsidRPr="007F20C9">
        <w:rPr>
          <w:rFonts w:ascii="Times New Roman" w:hAnsi="Times New Roman" w:cs="Times New Roman"/>
          <w:sz w:val="28"/>
          <w:szCs w:val="28"/>
        </w:rPr>
        <w:t>Группа работников технического персонала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5" w:type="dxa"/>
        <w:tblLook w:val="04A0"/>
      </w:tblPr>
      <w:tblGrid>
        <w:gridCol w:w="910"/>
        <w:gridCol w:w="5118"/>
        <w:gridCol w:w="3486"/>
      </w:tblGrid>
      <w:tr w:rsidR="006C3C1C" w:rsidRPr="007F20C9" w:rsidTr="00064EF6">
        <w:tc>
          <w:tcPr>
            <w:tcW w:w="910" w:type="dxa"/>
          </w:tcPr>
          <w:p w:rsidR="006C3C1C" w:rsidRPr="007F20C9" w:rsidRDefault="006C3C1C" w:rsidP="0038195D">
            <w:pPr>
              <w:pStyle w:val="a4"/>
              <w:ind w:left="4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jc w:val="center"/>
              <w:rPr>
                <w:b/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97"/>
              <w:jc w:val="center"/>
              <w:rPr>
                <w:b/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Минимальный размер оклада (должностного оклада)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8195D">
            <w:pPr>
              <w:pStyle w:val="a4"/>
              <w:ind w:left="4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9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9000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8195D">
            <w:pPr>
              <w:pStyle w:val="a4"/>
              <w:ind w:left="4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9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6C3C1C" w:rsidRPr="007F20C9" w:rsidTr="00064EF6">
        <w:tc>
          <w:tcPr>
            <w:tcW w:w="910" w:type="dxa"/>
          </w:tcPr>
          <w:p w:rsidR="006C3C1C" w:rsidRPr="007F20C9" w:rsidRDefault="006C3C1C" w:rsidP="0038195D">
            <w:pPr>
              <w:pStyle w:val="a4"/>
              <w:ind w:left="4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6" w:type="dxa"/>
          </w:tcPr>
          <w:p w:rsidR="006C3C1C" w:rsidRPr="007F20C9" w:rsidRDefault="006C3C1C" w:rsidP="003D1A9D">
            <w:pPr>
              <w:pStyle w:val="a4"/>
              <w:ind w:left="26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3587" w:type="dxa"/>
          </w:tcPr>
          <w:p w:rsidR="006C3C1C" w:rsidRPr="007F20C9" w:rsidRDefault="006C3C1C" w:rsidP="003D1A9D">
            <w:pPr>
              <w:pStyle w:val="a4"/>
              <w:ind w:left="97"/>
              <w:jc w:val="center"/>
              <w:rPr>
                <w:sz w:val="28"/>
                <w:szCs w:val="28"/>
                <w:lang w:eastAsia="ru-RU"/>
              </w:rPr>
            </w:pPr>
            <w:r w:rsidRPr="007F20C9">
              <w:rPr>
                <w:sz w:val="28"/>
                <w:szCs w:val="28"/>
                <w:lang w:eastAsia="ru-RU"/>
              </w:rPr>
              <w:t>8000</w:t>
            </w:r>
          </w:p>
        </w:tc>
      </w:tr>
    </w:tbl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B5" w:rsidRPr="007F20C9" w:rsidRDefault="00AC35B5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D94650">
      <w:pPr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системе оплаты труда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работников муниципального бюджетного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учреждения культуры "Культурно-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онный центр" </w:t>
      </w:r>
      <w:proofErr w:type="spellStart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D94650" w:rsidP="003819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:rsidR="00D94650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деятельности работников культурно -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«Культурно-информационного центра»  </w:t>
      </w: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7796"/>
        <w:gridCol w:w="2078"/>
      </w:tblGrid>
      <w:tr w:rsidR="006C3C1C" w:rsidRPr="007F20C9" w:rsidTr="00587AA1">
        <w:trPr>
          <w:trHeight w:val="346"/>
        </w:trPr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26" w:type="dxa"/>
          </w:tcPr>
          <w:p w:rsidR="006C3C1C" w:rsidRPr="007F20C9" w:rsidRDefault="006C3C1C" w:rsidP="00D9465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премии</w:t>
            </w:r>
          </w:p>
        </w:tc>
      </w:tr>
      <w:tr w:rsidR="006C3C1C" w:rsidRPr="007F20C9" w:rsidTr="00587AA1">
        <w:trPr>
          <w:trHeight w:val="346"/>
        </w:trPr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утвержденного муниципального задания учреждений культуры.</w:t>
            </w:r>
          </w:p>
        </w:tc>
        <w:tc>
          <w:tcPr>
            <w:tcW w:w="2126" w:type="dxa"/>
          </w:tcPr>
          <w:p w:rsidR="006C3C1C" w:rsidRPr="007F20C9" w:rsidRDefault="006C3C1C" w:rsidP="0038195D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20%</w:t>
            </w:r>
          </w:p>
        </w:tc>
      </w:tr>
      <w:tr w:rsidR="006C3C1C" w:rsidRPr="007F20C9" w:rsidTr="00587AA1"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2126" w:type="dxa"/>
          </w:tcPr>
          <w:p w:rsidR="006C3C1C" w:rsidRPr="007F20C9" w:rsidRDefault="006C3C1C" w:rsidP="0038195D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зрителей на районных мероприятиях</w:t>
            </w:r>
          </w:p>
        </w:tc>
        <w:tc>
          <w:tcPr>
            <w:tcW w:w="2126" w:type="dxa"/>
          </w:tcPr>
          <w:p w:rsidR="006C3C1C" w:rsidRPr="007F20C9" w:rsidRDefault="006C3C1C" w:rsidP="0038195D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работника в зональных, краевых, межрегиональных и всероссийских мероприятиях</w:t>
            </w:r>
          </w:p>
        </w:tc>
        <w:tc>
          <w:tcPr>
            <w:tcW w:w="2126" w:type="dxa"/>
          </w:tcPr>
          <w:p w:rsidR="006C3C1C" w:rsidRPr="007F20C9" w:rsidRDefault="006C3C1C" w:rsidP="0038195D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</w:t>
            </w:r>
          </w:p>
        </w:tc>
      </w:tr>
      <w:tr w:rsidR="006C3C1C" w:rsidRPr="007F20C9" w:rsidTr="00587AA1"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Учреждения, регулярная подготовка информации о деятельности для публикации на сайте Учреждения, СМИ</w:t>
            </w:r>
          </w:p>
        </w:tc>
        <w:tc>
          <w:tcPr>
            <w:tcW w:w="2126" w:type="dxa"/>
          </w:tcPr>
          <w:p w:rsidR="006C3C1C" w:rsidRPr="007F20C9" w:rsidRDefault="006C3C1C" w:rsidP="0038195D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8067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самообразованием, обучением и повышением квалификации.</w:t>
            </w:r>
          </w:p>
        </w:tc>
        <w:tc>
          <w:tcPr>
            <w:tcW w:w="2126" w:type="dxa"/>
          </w:tcPr>
          <w:p w:rsidR="006C3C1C" w:rsidRPr="007F20C9" w:rsidRDefault="006C3C1C" w:rsidP="0038195D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</w:tbl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D94650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7B64" w:rsidRPr="007F20C9" w:rsidRDefault="00A67B64">
      <w:pPr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системе оплаты труда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работников муниципального бюджетного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учреждения культуры "Культурно-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онный центр" </w:t>
      </w:r>
      <w:proofErr w:type="spellStart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587AA1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t>РИТЕРИИ</w:t>
      </w: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деятельности для работников библиотечной деятельности  «Культурно-информационного центра» 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6949"/>
        <w:gridCol w:w="2925"/>
      </w:tblGrid>
      <w:tr w:rsidR="006C3C1C" w:rsidRPr="007F20C9" w:rsidTr="00587AA1">
        <w:trPr>
          <w:trHeight w:val="346"/>
        </w:trPr>
        <w:tc>
          <w:tcPr>
            <w:tcW w:w="7074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премии</w:t>
            </w:r>
          </w:p>
        </w:tc>
      </w:tr>
      <w:tr w:rsidR="006C3C1C" w:rsidRPr="007F20C9" w:rsidTr="00587AA1">
        <w:trPr>
          <w:trHeight w:val="346"/>
        </w:trPr>
        <w:tc>
          <w:tcPr>
            <w:tcW w:w="7074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утвержденного муниципального задания учреждений культуры.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20%</w:t>
            </w:r>
          </w:p>
        </w:tc>
      </w:tr>
      <w:tr w:rsidR="006C3C1C" w:rsidRPr="007F20C9" w:rsidTr="00587AA1">
        <w:tc>
          <w:tcPr>
            <w:tcW w:w="7074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074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зрителей на районных мероприятиях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074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работника в зональных, краевых, межрегиональных и всероссийских мероприятиях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</w:t>
            </w:r>
          </w:p>
        </w:tc>
      </w:tr>
      <w:tr w:rsidR="006C3C1C" w:rsidRPr="007F20C9" w:rsidTr="00587AA1">
        <w:tc>
          <w:tcPr>
            <w:tcW w:w="7074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Учреждения, регулярная подготовка информации о деятельности для публикации на сайте Учреждения, СМИ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20%</w:t>
            </w:r>
          </w:p>
        </w:tc>
      </w:tr>
      <w:tr w:rsidR="006C3C1C" w:rsidRPr="007F20C9" w:rsidTr="00587AA1">
        <w:tc>
          <w:tcPr>
            <w:tcW w:w="7074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самообразованием, обучением и повышением квалификации.</w:t>
            </w:r>
          </w:p>
        </w:tc>
        <w:tc>
          <w:tcPr>
            <w:tcW w:w="2977" w:type="dxa"/>
          </w:tcPr>
          <w:p w:rsidR="006C3C1C" w:rsidRPr="007F20C9" w:rsidRDefault="006C3C1C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</w:tbl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D94650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D94650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A67B64" w:rsidP="00462B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6C3C1C"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к положению о системе оплаты труда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работников муниципального бюджетного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учреждения культуры "Культурно-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онный центр" </w:t>
      </w:r>
      <w:proofErr w:type="spellStart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A67B6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деятельности работников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7500"/>
        <w:gridCol w:w="2268"/>
      </w:tblGrid>
      <w:tr w:rsidR="006C3C1C" w:rsidRPr="007F20C9" w:rsidTr="00587AA1">
        <w:trPr>
          <w:trHeight w:val="346"/>
        </w:trPr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премии</w:t>
            </w:r>
          </w:p>
        </w:tc>
      </w:tr>
      <w:tr w:rsidR="006C3C1C" w:rsidRPr="007F20C9" w:rsidTr="00D94650">
        <w:trPr>
          <w:trHeight w:val="422"/>
        </w:trPr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в клубных формированиях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зрителей на мероприятиях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платных мероприятий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зрителей на платных мероприятиях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коллективов, работников Учреждения в районных, зональных, краевых, межрегиональных, всероссийских мероприятиях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</w:t>
            </w:r>
            <w:proofErr w:type="spellStart"/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мероприятиях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C3C1C" w:rsidRPr="007F20C9" w:rsidTr="00587AA1">
        <w:tc>
          <w:tcPr>
            <w:tcW w:w="7500" w:type="dxa"/>
          </w:tcPr>
          <w:p w:rsidR="006C3C1C" w:rsidRPr="007F20C9" w:rsidRDefault="006C3C1C" w:rsidP="00D94650">
            <w:pPr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учреждения, регулярная подготовка информации о деятельности для публикации на сайте Учреждения, СМИ</w:t>
            </w:r>
          </w:p>
        </w:tc>
        <w:tc>
          <w:tcPr>
            <w:tcW w:w="2268" w:type="dxa"/>
          </w:tcPr>
          <w:p w:rsidR="006C3C1C" w:rsidRPr="007F20C9" w:rsidRDefault="006C3C1C" w:rsidP="00D94650">
            <w:pPr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</w:tbl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AA1" w:rsidRPr="007F20C9" w:rsidRDefault="00587AA1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650" w:rsidRPr="007F20C9" w:rsidRDefault="00D94650">
      <w:pPr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системе оплаты труда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работников муниципального бюджетного 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учреждения культуры "Культурно-</w:t>
      </w:r>
    </w:p>
    <w:p w:rsidR="006C3C1C" w:rsidRPr="007F20C9" w:rsidRDefault="006C3C1C" w:rsidP="00462B66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онный центр" </w:t>
      </w:r>
      <w:proofErr w:type="spellStart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A67B64"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:rsidR="006C3C1C" w:rsidRPr="007F20C9" w:rsidRDefault="006C3C1C" w:rsidP="00D9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деятельности для работников библиотек  «Культурно-информационного центра»  </w:t>
      </w:r>
      <w:proofErr w:type="spellStart"/>
      <w:r w:rsidRPr="007F20C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7F20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C1C" w:rsidRPr="007F20C9" w:rsidRDefault="006C3C1C" w:rsidP="003819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95"/>
        <w:tblW w:w="0" w:type="auto"/>
        <w:tblLook w:val="04A0"/>
      </w:tblPr>
      <w:tblGrid>
        <w:gridCol w:w="6838"/>
        <w:gridCol w:w="2732"/>
      </w:tblGrid>
      <w:tr w:rsidR="00D94650" w:rsidRPr="007F20C9" w:rsidTr="00D94650">
        <w:trPr>
          <w:trHeight w:val="346"/>
        </w:trPr>
        <w:tc>
          <w:tcPr>
            <w:tcW w:w="6838" w:type="dxa"/>
          </w:tcPr>
          <w:p w:rsidR="00D94650" w:rsidRPr="007F20C9" w:rsidRDefault="00D94650" w:rsidP="00D94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премии</w:t>
            </w:r>
          </w:p>
        </w:tc>
      </w:tr>
      <w:tr w:rsidR="00D94650" w:rsidRPr="007F20C9" w:rsidTr="00D94650">
        <w:trPr>
          <w:trHeight w:val="566"/>
        </w:trPr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пользователей, в том числе до 14 лет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физических посещений культурно-массовых мероприятий в библиотеках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документов, выданных из фонда библиотеки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электронного каталога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инвентарной и суммарной книги и дневников взрослого и детского отделения.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коллективов, работников Учреждения в районных, зональных, краевых, межрегиональных, всероссийских мероприятиях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</w:t>
            </w:r>
            <w:proofErr w:type="spellStart"/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мероприятиях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D94650" w:rsidRPr="007F20C9" w:rsidTr="00D94650">
        <w:tc>
          <w:tcPr>
            <w:tcW w:w="6838" w:type="dxa"/>
          </w:tcPr>
          <w:p w:rsidR="00D94650" w:rsidRPr="007F20C9" w:rsidRDefault="00D94650" w:rsidP="00D94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Учреждения, регулярная подготовка информации о деятельности для публикации на сайте Учреждения, СМИ</w:t>
            </w:r>
          </w:p>
        </w:tc>
        <w:tc>
          <w:tcPr>
            <w:tcW w:w="2732" w:type="dxa"/>
          </w:tcPr>
          <w:p w:rsidR="00D94650" w:rsidRPr="007F20C9" w:rsidRDefault="00D94650" w:rsidP="00D9465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</w:tbl>
    <w:p w:rsidR="005037EB" w:rsidRPr="007F20C9" w:rsidRDefault="005037EB" w:rsidP="00D9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F2" w:rsidRPr="007F20C9" w:rsidRDefault="00CE27F2" w:rsidP="0038195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E27F2" w:rsidRPr="007F20C9" w:rsidSect="00A67B6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61" w:rsidRDefault="00F00861" w:rsidP="006C3C1C">
      <w:pPr>
        <w:spacing w:after="0" w:line="240" w:lineRule="auto"/>
      </w:pPr>
      <w:r>
        <w:separator/>
      </w:r>
    </w:p>
  </w:endnote>
  <w:endnote w:type="continuationSeparator" w:id="0">
    <w:p w:rsidR="00F00861" w:rsidRDefault="00F00861" w:rsidP="006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61" w:rsidRDefault="00F00861" w:rsidP="006C3C1C">
      <w:pPr>
        <w:spacing w:after="0" w:line="240" w:lineRule="auto"/>
      </w:pPr>
      <w:r>
        <w:separator/>
      </w:r>
    </w:p>
  </w:footnote>
  <w:footnote w:type="continuationSeparator" w:id="0">
    <w:p w:rsidR="00F00861" w:rsidRDefault="00F00861" w:rsidP="006C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3E"/>
    <w:multiLevelType w:val="hybridMultilevel"/>
    <w:tmpl w:val="901ABC02"/>
    <w:lvl w:ilvl="0" w:tplc="C0A2B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417"/>
    <w:multiLevelType w:val="multilevel"/>
    <w:tmpl w:val="3B20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4C64"/>
    <w:multiLevelType w:val="multilevel"/>
    <w:tmpl w:val="C3B47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3C84"/>
    <w:multiLevelType w:val="hybridMultilevel"/>
    <w:tmpl w:val="8E1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7715"/>
    <w:multiLevelType w:val="hybridMultilevel"/>
    <w:tmpl w:val="49C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5627"/>
    <w:multiLevelType w:val="hybridMultilevel"/>
    <w:tmpl w:val="BD448210"/>
    <w:lvl w:ilvl="0" w:tplc="E2FEC56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BB7C3E"/>
    <w:multiLevelType w:val="multilevel"/>
    <w:tmpl w:val="755E2A86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56302707"/>
    <w:multiLevelType w:val="multilevel"/>
    <w:tmpl w:val="CDC0B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82777"/>
    <w:multiLevelType w:val="multilevel"/>
    <w:tmpl w:val="920EC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D0F70"/>
    <w:multiLevelType w:val="hybridMultilevel"/>
    <w:tmpl w:val="A31CD846"/>
    <w:lvl w:ilvl="0" w:tplc="F17CD19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CF4510"/>
    <w:multiLevelType w:val="hybridMultilevel"/>
    <w:tmpl w:val="781EB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220"/>
    <w:rsid w:val="00064EF6"/>
    <w:rsid w:val="0009001C"/>
    <w:rsid w:val="00090A93"/>
    <w:rsid w:val="000B384B"/>
    <w:rsid w:val="0019086A"/>
    <w:rsid w:val="001B78A8"/>
    <w:rsid w:val="001C4EEE"/>
    <w:rsid w:val="00240265"/>
    <w:rsid w:val="0032601D"/>
    <w:rsid w:val="00374220"/>
    <w:rsid w:val="0038195D"/>
    <w:rsid w:val="003869E2"/>
    <w:rsid w:val="003D1A9D"/>
    <w:rsid w:val="0042763F"/>
    <w:rsid w:val="0043771B"/>
    <w:rsid w:val="00462B66"/>
    <w:rsid w:val="004A37D8"/>
    <w:rsid w:val="005037EB"/>
    <w:rsid w:val="005101F2"/>
    <w:rsid w:val="00587AA1"/>
    <w:rsid w:val="005B7E23"/>
    <w:rsid w:val="006A1C45"/>
    <w:rsid w:val="006C3C1C"/>
    <w:rsid w:val="007F20C9"/>
    <w:rsid w:val="0086026D"/>
    <w:rsid w:val="008A7C10"/>
    <w:rsid w:val="00A27576"/>
    <w:rsid w:val="00A67B64"/>
    <w:rsid w:val="00A97BFC"/>
    <w:rsid w:val="00AC35B5"/>
    <w:rsid w:val="00B044A8"/>
    <w:rsid w:val="00B5100F"/>
    <w:rsid w:val="00B70CAE"/>
    <w:rsid w:val="00BA5D63"/>
    <w:rsid w:val="00C33A85"/>
    <w:rsid w:val="00CE27F2"/>
    <w:rsid w:val="00D82F8A"/>
    <w:rsid w:val="00D94650"/>
    <w:rsid w:val="00DE5834"/>
    <w:rsid w:val="00E77340"/>
    <w:rsid w:val="00E87BD2"/>
    <w:rsid w:val="00EC65CC"/>
    <w:rsid w:val="00F00861"/>
    <w:rsid w:val="00F027F4"/>
    <w:rsid w:val="00F231CF"/>
    <w:rsid w:val="00F6736D"/>
    <w:rsid w:val="00F90F79"/>
    <w:rsid w:val="00FB5C13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A8"/>
  </w:style>
  <w:style w:type="paragraph" w:styleId="2">
    <w:name w:val="heading 2"/>
    <w:basedOn w:val="a"/>
    <w:link w:val="20"/>
    <w:uiPriority w:val="9"/>
    <w:qFormat/>
    <w:rsid w:val="0051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2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742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3C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C1C"/>
  </w:style>
  <w:style w:type="paragraph" w:styleId="a8">
    <w:name w:val="footer"/>
    <w:basedOn w:val="a"/>
    <w:link w:val="a9"/>
    <w:uiPriority w:val="99"/>
    <w:semiHidden/>
    <w:unhideWhenUsed/>
    <w:rsid w:val="006C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C1C"/>
  </w:style>
  <w:style w:type="paragraph" w:styleId="aa">
    <w:name w:val="Normal (Web)"/>
    <w:basedOn w:val="a"/>
    <w:uiPriority w:val="99"/>
    <w:unhideWhenUsed/>
    <w:rsid w:val="0042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0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101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9EB10D819DACD409291000865DCCF5A1DF47D95134479C475CFB906732932B03EE0C1B8AD187BC46A198BE2A0FBBB497DD0C501FE55164ABA702CE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29EB10D819DACD409291000865DCCF5A1DF47D95134479C475CFB906732932B03EE0C1B8AD187BC46A1580E2A0FBBB497DD0C501FE55164ABA702CE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9EB10D819DACD409291000865DCCF5A1DF47D95134479C475CFB906732932B03EE0C1B8AD187BC46A1B8BE2A0FBBB497DD0C501FE55164ABA702C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B2F9-7F83-4FC1-A5CB-39C035AA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2022-04-20T05:21:00Z</cp:lastPrinted>
  <dcterms:created xsi:type="dcterms:W3CDTF">2022-03-29T04:09:00Z</dcterms:created>
  <dcterms:modified xsi:type="dcterms:W3CDTF">2022-05-05T09:44:00Z</dcterms:modified>
</cp:coreProperties>
</file>