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8C2B75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  <w:r w:rsidRPr="008C2B75"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ПРОЕКТ</w:t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КУЙБЫШЕВСКОГО СЕЛЬСОВЕТА</w:t>
      </w:r>
    </w:p>
    <w:p w:rsidR="00BE43CF" w:rsidRP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BE43CF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п.Куйбышево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8C2B75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BE43CF" w:rsidRPr="008C2B75">
        <w:rPr>
          <w:rFonts w:ascii="Times New Roman" w:hAnsi="Times New Roman"/>
          <w:sz w:val="28"/>
          <w:szCs w:val="28"/>
          <w:lang w:eastAsia="ar-SA"/>
        </w:rPr>
        <w:t xml:space="preserve">Куйбышевского </w:t>
      </w:r>
      <w:r w:rsidR="003A121F" w:rsidRPr="008C2B75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BA2A8E">
        <w:rPr>
          <w:rFonts w:ascii="Times New Roman" w:hAnsi="Times New Roman"/>
          <w:sz w:val="28"/>
          <w:szCs w:val="28"/>
          <w:lang w:eastAsia="ar-SA"/>
        </w:rPr>
        <w:t>5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Куйбышевского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E43CF">
        <w:rPr>
          <w:rFonts w:ascii="Times New Roman" w:hAnsi="Times New Roman"/>
          <w:sz w:val="28"/>
          <w:szCs w:val="24"/>
          <w:lang w:eastAsia="ar-SA"/>
        </w:rPr>
        <w:t>22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BE43CF">
        <w:rPr>
          <w:rFonts w:ascii="Times New Roman" w:hAnsi="Times New Roman"/>
          <w:sz w:val="28"/>
          <w:szCs w:val="24"/>
          <w:lang w:eastAsia="ar-SA"/>
        </w:rPr>
        <w:t>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905F50" w:rsidRDefault="00905F50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05F50" w:rsidRDefault="00C86177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905F50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42408" w:rsidRPr="00E50DA5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 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E43CF">
        <w:rPr>
          <w:rFonts w:ascii="Times New Roman" w:hAnsi="Times New Roman"/>
          <w:sz w:val="28"/>
          <w:szCs w:val="24"/>
          <w:lang w:eastAsia="ar-SA"/>
        </w:rPr>
        <w:t>пального образования Куйбышевский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BA2A8E">
        <w:rPr>
          <w:rFonts w:ascii="Times New Roman" w:hAnsi="Times New Roman"/>
          <w:sz w:val="28"/>
          <w:szCs w:val="24"/>
          <w:lang w:eastAsia="ar-SA"/>
        </w:rPr>
        <w:t>5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 w:rsidR="00C42408">
        <w:rPr>
          <w:rFonts w:ascii="Times New Roman" w:hAnsi="Times New Roman"/>
          <w:sz w:val="28"/>
          <w:szCs w:val="24"/>
          <w:lang w:eastAsia="ar-SA"/>
        </w:rPr>
        <w:t>.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(Приложение 1)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 </w:t>
      </w:r>
      <w:r w:rsidR="00BA2A8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905F50">
        <w:rPr>
          <w:rFonts w:ascii="Times New Roman" w:hAnsi="Times New Roman"/>
          <w:sz w:val="28"/>
          <w:szCs w:val="24"/>
          <w:lang w:eastAsia="ar-SA"/>
        </w:rPr>
        <w:t xml:space="preserve"> в установленном порядке</w:t>
      </w:r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2A8E" w:rsidRPr="00905F50" w:rsidRDefault="00C86177" w:rsidP="00905F50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</w:t>
      </w:r>
      <w:r w:rsidR="00BE43CF">
        <w:rPr>
          <w:rFonts w:ascii="Times New Roman" w:hAnsi="Times New Roman"/>
          <w:sz w:val="28"/>
          <w:szCs w:val="28"/>
          <w:lang w:eastAsia="ru-RU"/>
        </w:rPr>
        <w:t xml:space="preserve">                      С.В.Гиль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BE43CF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Куйбышевского сельсовета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BE43CF">
        <w:rPr>
          <w:rFonts w:ascii="Times New Roman" w:hAnsi="Times New Roman"/>
          <w:b/>
          <w:color w:val="000000"/>
          <w:sz w:val="28"/>
          <w:szCs w:val="28"/>
        </w:rPr>
        <w:t>ального образования Куйбышевский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BA2A8E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E43CF">
        <w:rPr>
          <w:rFonts w:ascii="Times New Roman" w:hAnsi="Times New Roman"/>
          <w:sz w:val="28"/>
          <w:szCs w:val="24"/>
          <w:lang w:eastAsia="ar-SA"/>
        </w:rPr>
        <w:t>решением 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E43CF">
        <w:rPr>
          <w:rFonts w:ascii="Times New Roman" w:hAnsi="Times New Roman"/>
          <w:sz w:val="28"/>
          <w:szCs w:val="24"/>
          <w:lang w:eastAsia="ar-SA"/>
        </w:rPr>
        <w:t>22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BE43CF">
        <w:rPr>
          <w:rFonts w:ascii="Times New Roman" w:hAnsi="Times New Roman"/>
          <w:sz w:val="28"/>
          <w:szCs w:val="24"/>
          <w:lang w:eastAsia="ar-SA"/>
        </w:rPr>
        <w:t>.2021   № 19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BE43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Куйбышевского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BE43CF">
        <w:rPr>
          <w:rFonts w:ascii="Times New Roman" w:hAnsi="Times New Roman"/>
          <w:sz w:val="28"/>
          <w:szCs w:val="24"/>
          <w:lang w:eastAsia="ar-SA"/>
        </w:rPr>
        <w:t>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930157">
        <w:rPr>
          <w:rFonts w:ascii="Times New Roman" w:hAnsi="Times New Roman"/>
          <w:sz w:val="28"/>
          <w:szCs w:val="24"/>
          <w:lang w:eastAsia="ar-SA"/>
        </w:rPr>
        <w:t>28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>22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19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8C2B7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8C2B7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8C2B75">
            <w:pPr>
              <w:spacing w:after="0" w:line="240" w:lineRule="auto"/>
              <w:ind w:left="-142"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Глава сельсовета,</w:t>
            </w:r>
          </w:p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A70AE9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Глава сельсовета,</w:t>
            </w:r>
          </w:p>
          <w:p w:rsidR="00C42408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0D" w:rsidRDefault="00712D0D" w:rsidP="0074246E">
      <w:pPr>
        <w:spacing w:after="0" w:line="240" w:lineRule="auto"/>
      </w:pPr>
      <w:r>
        <w:separator/>
      </w:r>
    </w:p>
  </w:endnote>
  <w:endnote w:type="continuationSeparator" w:id="0">
    <w:p w:rsidR="00712D0D" w:rsidRDefault="00712D0D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0D" w:rsidRDefault="00712D0D" w:rsidP="0074246E">
      <w:pPr>
        <w:spacing w:after="0" w:line="240" w:lineRule="auto"/>
      </w:pPr>
      <w:r>
        <w:separator/>
      </w:r>
    </w:p>
  </w:footnote>
  <w:footnote w:type="continuationSeparator" w:id="0">
    <w:p w:rsidR="00712D0D" w:rsidRDefault="00712D0D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1351BF"/>
    <w:rsid w:val="00147364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61FE9"/>
    <w:rsid w:val="00380B83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3E84"/>
    <w:rsid w:val="005A6CA8"/>
    <w:rsid w:val="005C2418"/>
    <w:rsid w:val="00605A9F"/>
    <w:rsid w:val="0064451D"/>
    <w:rsid w:val="00675410"/>
    <w:rsid w:val="006C3D7B"/>
    <w:rsid w:val="00712407"/>
    <w:rsid w:val="00712D0D"/>
    <w:rsid w:val="0072637E"/>
    <w:rsid w:val="00731D52"/>
    <w:rsid w:val="00732B94"/>
    <w:rsid w:val="0074246E"/>
    <w:rsid w:val="007572C3"/>
    <w:rsid w:val="0078197E"/>
    <w:rsid w:val="007B2CBE"/>
    <w:rsid w:val="007D2426"/>
    <w:rsid w:val="007F0B2D"/>
    <w:rsid w:val="00803AD9"/>
    <w:rsid w:val="0081386C"/>
    <w:rsid w:val="00817008"/>
    <w:rsid w:val="00837463"/>
    <w:rsid w:val="00881E40"/>
    <w:rsid w:val="008B5C76"/>
    <w:rsid w:val="008C2B75"/>
    <w:rsid w:val="00904D60"/>
    <w:rsid w:val="00905F50"/>
    <w:rsid w:val="009240E4"/>
    <w:rsid w:val="00930157"/>
    <w:rsid w:val="00932558"/>
    <w:rsid w:val="009521CF"/>
    <w:rsid w:val="009645EC"/>
    <w:rsid w:val="00974AB8"/>
    <w:rsid w:val="009A260C"/>
    <w:rsid w:val="00A164D1"/>
    <w:rsid w:val="00A57DB1"/>
    <w:rsid w:val="00A70AE9"/>
    <w:rsid w:val="00AD113C"/>
    <w:rsid w:val="00B21EFC"/>
    <w:rsid w:val="00B441FD"/>
    <w:rsid w:val="00B60287"/>
    <w:rsid w:val="00BA2A8E"/>
    <w:rsid w:val="00BA4B92"/>
    <w:rsid w:val="00BB4099"/>
    <w:rsid w:val="00BC634E"/>
    <w:rsid w:val="00BE43CF"/>
    <w:rsid w:val="00C42408"/>
    <w:rsid w:val="00C7477C"/>
    <w:rsid w:val="00C86177"/>
    <w:rsid w:val="00CA4620"/>
    <w:rsid w:val="00DC16B0"/>
    <w:rsid w:val="00DF5014"/>
    <w:rsid w:val="00E10607"/>
    <w:rsid w:val="00E50DA5"/>
    <w:rsid w:val="00E74C41"/>
    <w:rsid w:val="00E74DC9"/>
    <w:rsid w:val="00EB16D6"/>
    <w:rsid w:val="00ED62AA"/>
    <w:rsid w:val="00EE41A9"/>
    <w:rsid w:val="00F060D5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1EB9-69EC-43A7-97FE-12306CBE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19</cp:revision>
  <cp:lastPrinted>2022-11-01T08:24:00Z</cp:lastPrinted>
  <dcterms:created xsi:type="dcterms:W3CDTF">2022-10-03T12:00:00Z</dcterms:created>
  <dcterms:modified xsi:type="dcterms:W3CDTF">2024-09-23T11:41:00Z</dcterms:modified>
</cp:coreProperties>
</file>