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63" w:rsidRPr="00C86177" w:rsidRDefault="009E0C63" w:rsidP="00C364A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ab/>
        <w:t>ПРОЕКТ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Pr="00C86177" w:rsidRDefault="00B07CE1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Дальнего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</w:t>
      </w:r>
      <w:r w:rsidR="009E0C6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№  </w:t>
      </w:r>
    </w:p>
    <w:p w:rsidR="00C86177" w:rsidRPr="00C86177" w:rsidRDefault="00B07CE1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п.Дальний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E50DA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(ущерба) охраняемым законом ценностям </w:t>
      </w:r>
    </w:p>
    <w:p w:rsidR="00C42408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bookmarkStart w:id="0" w:name="_Hlk89078630"/>
      <w:r w:rsidR="008D5CCA">
        <w:rPr>
          <w:rFonts w:ascii="Times New Roman" w:hAnsi="Times New Roman"/>
          <w:b/>
          <w:sz w:val="28"/>
          <w:szCs w:val="28"/>
          <w:lang w:eastAsia="ar-SA"/>
        </w:rPr>
        <w:t>Дальнего</w:t>
      </w:r>
    </w:p>
    <w:p w:rsidR="00C42408" w:rsidRPr="00E50DA5" w:rsidRDefault="003A121F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на 202</w:t>
      </w:r>
      <w:r w:rsidR="009E0C63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C42408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07CE1">
        <w:rPr>
          <w:rFonts w:ascii="Times New Roman" w:hAnsi="Times New Roman"/>
          <w:sz w:val="28"/>
          <w:szCs w:val="24"/>
          <w:lang w:eastAsia="ar-SA"/>
        </w:rPr>
        <w:t xml:space="preserve"> Дальнего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B07CE1">
        <w:rPr>
          <w:rFonts w:ascii="Times New Roman" w:hAnsi="Times New Roman"/>
          <w:sz w:val="28"/>
          <w:szCs w:val="24"/>
          <w:lang w:eastAsia="ar-SA"/>
        </w:rPr>
        <w:t>29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Pr="002960B6">
        <w:rPr>
          <w:rFonts w:ascii="Times New Roman" w:hAnsi="Times New Roman"/>
          <w:sz w:val="28"/>
          <w:szCs w:val="24"/>
          <w:lang w:eastAsia="ar-SA"/>
        </w:rPr>
        <w:t>.2021   № 1</w:t>
      </w:r>
      <w:r w:rsidR="00B07CE1">
        <w:rPr>
          <w:rFonts w:ascii="Times New Roman" w:hAnsi="Times New Roman"/>
          <w:sz w:val="28"/>
          <w:szCs w:val="24"/>
          <w:lang w:eastAsia="ar-SA"/>
        </w:rPr>
        <w:t>9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C86177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07CE1">
        <w:rPr>
          <w:rFonts w:ascii="Times New Roman" w:hAnsi="Times New Roman"/>
          <w:sz w:val="28"/>
          <w:szCs w:val="24"/>
          <w:lang w:eastAsia="ar-SA"/>
        </w:rPr>
        <w:t>пального образования Дальний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9E0C63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C86177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 w:rsidR="00B07CE1">
        <w:rPr>
          <w:rFonts w:ascii="Times New Roman" w:hAnsi="Times New Roman"/>
          <w:sz w:val="28"/>
          <w:szCs w:val="28"/>
          <w:lang w:eastAsia="ru-RU"/>
        </w:rPr>
        <w:t xml:space="preserve">                     О.А. Кузьмин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2408" w:rsidRDefault="00C42408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E0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№ 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45605D">
        <w:rPr>
          <w:rFonts w:ascii="Times New Roman" w:hAnsi="Times New Roman"/>
          <w:b/>
          <w:color w:val="000000"/>
          <w:sz w:val="28"/>
          <w:szCs w:val="28"/>
        </w:rPr>
        <w:t>ального образования Дальний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9E0C63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45605D">
        <w:rPr>
          <w:rFonts w:ascii="Times New Roman" w:hAnsi="Times New Roman"/>
          <w:sz w:val="28"/>
          <w:szCs w:val="24"/>
          <w:lang w:eastAsia="ar-SA"/>
        </w:rPr>
        <w:t>решением 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t>29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45605D">
        <w:rPr>
          <w:rFonts w:ascii="Times New Roman" w:hAnsi="Times New Roman"/>
          <w:sz w:val="28"/>
          <w:szCs w:val="24"/>
          <w:lang w:eastAsia="ar-SA"/>
        </w:rPr>
        <w:t>.2021   № 19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4560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Дальнего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9E0C63">
        <w:rPr>
          <w:rFonts w:ascii="Times New Roman" w:hAnsi="Times New Roman"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Дальний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45605D">
        <w:rPr>
          <w:rFonts w:ascii="Times New Roman" w:hAnsi="Times New Roman"/>
          <w:sz w:val="28"/>
          <w:szCs w:val="24"/>
          <w:lang w:eastAsia="ar-SA"/>
        </w:rPr>
        <w:t>Дальнего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605D">
        <w:rPr>
          <w:rFonts w:ascii="Times New Roman" w:hAnsi="Times New Roman"/>
          <w:sz w:val="28"/>
          <w:szCs w:val="24"/>
          <w:lang w:eastAsia="ar-SA"/>
        </w:rPr>
        <w:lastRenderedPageBreak/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45605D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Дальнего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29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45605D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0C63" w:rsidRPr="005A26E6" w:rsidRDefault="009E0C63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страции 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 w:rsidR="0045605D">
              <w:rPr>
                <w:rFonts w:ascii="Times New Roman" w:hAnsi="Times New Roman"/>
                <w:color w:val="000000"/>
                <w:lang w:eastAsia="ru-RU"/>
              </w:rPr>
              <w:t>Дальнего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C42408" w:rsidRPr="00F90385" w:rsidRDefault="00C42408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Дальнего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05D" w:rsidRPr="00A70AE9" w:rsidRDefault="006C3D7B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45605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Дальнего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E1" w:rsidRDefault="007957E1" w:rsidP="0074246E">
      <w:pPr>
        <w:spacing w:after="0" w:line="240" w:lineRule="auto"/>
      </w:pPr>
      <w:r>
        <w:separator/>
      </w:r>
    </w:p>
  </w:endnote>
  <w:endnote w:type="continuationSeparator" w:id="0">
    <w:p w:rsidR="007957E1" w:rsidRDefault="007957E1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E1" w:rsidRDefault="007957E1" w:rsidP="0074246E">
      <w:pPr>
        <w:spacing w:after="0" w:line="240" w:lineRule="auto"/>
      </w:pPr>
      <w:r>
        <w:separator/>
      </w:r>
    </w:p>
  </w:footnote>
  <w:footnote w:type="continuationSeparator" w:id="0">
    <w:p w:rsidR="007957E1" w:rsidRDefault="007957E1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385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712407"/>
    <w:rsid w:val="0072637E"/>
    <w:rsid w:val="00731D52"/>
    <w:rsid w:val="00732B94"/>
    <w:rsid w:val="0074246E"/>
    <w:rsid w:val="007572C3"/>
    <w:rsid w:val="007957E1"/>
    <w:rsid w:val="007B2CBE"/>
    <w:rsid w:val="007D2426"/>
    <w:rsid w:val="007E180D"/>
    <w:rsid w:val="007F0B2D"/>
    <w:rsid w:val="00803AD9"/>
    <w:rsid w:val="00817008"/>
    <w:rsid w:val="00837463"/>
    <w:rsid w:val="00876D83"/>
    <w:rsid w:val="00881E40"/>
    <w:rsid w:val="008B5C76"/>
    <w:rsid w:val="008D5CCA"/>
    <w:rsid w:val="00904D60"/>
    <w:rsid w:val="009240E4"/>
    <w:rsid w:val="00932558"/>
    <w:rsid w:val="009521CF"/>
    <w:rsid w:val="009645EC"/>
    <w:rsid w:val="00974AB8"/>
    <w:rsid w:val="009E0C63"/>
    <w:rsid w:val="00A164D1"/>
    <w:rsid w:val="00A57DB1"/>
    <w:rsid w:val="00A70AE9"/>
    <w:rsid w:val="00AD113C"/>
    <w:rsid w:val="00B07CE1"/>
    <w:rsid w:val="00B21EFC"/>
    <w:rsid w:val="00B441FD"/>
    <w:rsid w:val="00B60287"/>
    <w:rsid w:val="00BA4B92"/>
    <w:rsid w:val="00BC634E"/>
    <w:rsid w:val="00C364A3"/>
    <w:rsid w:val="00C42408"/>
    <w:rsid w:val="00C7477C"/>
    <w:rsid w:val="00C86177"/>
    <w:rsid w:val="00CA4620"/>
    <w:rsid w:val="00CC6B83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D0D06"/>
  <w15:docId w15:val="{296E0BB6-AEA0-437B-B28D-106D5B5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64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44DF-8396-4D6C-9036-FD37793D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15</cp:revision>
  <cp:lastPrinted>2022-12-19T07:52:00Z</cp:lastPrinted>
  <dcterms:created xsi:type="dcterms:W3CDTF">2022-10-03T12:00:00Z</dcterms:created>
  <dcterms:modified xsi:type="dcterms:W3CDTF">2023-11-13T04:33:00Z</dcterms:modified>
</cp:coreProperties>
</file>