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AC" w:rsidRPr="00F13692" w:rsidRDefault="009E4BAC" w:rsidP="009E4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:rsidR="009E4BAC" w:rsidRPr="00F13692" w:rsidRDefault="009E4BAC" w:rsidP="009E4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общественного обсуждения проекта</w:t>
      </w:r>
    </w:p>
    <w:p w:rsidR="009E4BAC" w:rsidRDefault="009E4BAC" w:rsidP="009E4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</w:t>
      </w:r>
      <w:r w:rsidRPr="00F13692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</w:t>
      </w:r>
    </w:p>
    <w:p w:rsidR="009E4BAC" w:rsidRPr="00F13692" w:rsidRDefault="009E4BAC" w:rsidP="009E4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</w:p>
    <w:p w:rsidR="009E4BAC" w:rsidRPr="001F779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Общественное обсуждение проекта Программы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Проект) проводится с 1 октября по 1 ноября 2023 года.</w:t>
      </w: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Разработчиком Проекта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Рубцовского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Рубцовского 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адрес: 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8256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Алтай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ский край,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район,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Зеленая Дубрава,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телефона6 8-38557-76343, 8-38557-76319,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электронная почта: </w:t>
      </w:r>
      <w:r w:rsidRPr="001F7799">
        <w:rPr>
          <w:rFonts w:ascii="Times New Roman" w:hAnsi="Times New Roman" w:cs="Times New Roman"/>
          <w:sz w:val="28"/>
          <w:szCs w:val="28"/>
        </w:rPr>
        <w:t>sekretar_rub@mail.ru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BAC" w:rsidRPr="001F779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:rsidR="009E4BAC" w:rsidRPr="001F779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оставить указанный проект Программы профилактики рисков причинения вреда (ущерба) охраняемым законом ценностям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 без изменений;</w:t>
      </w:r>
    </w:p>
    <w:p w:rsidR="009E4BAC" w:rsidRPr="001F779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внести изменения в указанный проект Программы профилактики рисков причинения вреда (ущерба) охраняемым законом ценностям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на 202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год.</w:t>
      </w: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Свои предложения (замечания) Вы можете направлять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срок до 1 ноября 2023 года:</w:t>
      </w: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электронную почту: </w:t>
      </w:r>
      <w:hyperlink r:id="rId5" w:history="1">
        <w:r w:rsidRPr="00BE5339">
          <w:rPr>
            <w:rStyle w:val="a3"/>
            <w:rFonts w:ascii="Times New Roman" w:hAnsi="Times New Roman" w:cs="Times New Roman"/>
            <w:b/>
            <w:sz w:val="28"/>
            <w:szCs w:val="28"/>
          </w:rPr>
          <w:t>sekretar_rub@mail.ru</w:t>
        </w:r>
      </w:hyperlink>
      <w:r w:rsidRPr="001F7799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E4BAC" w:rsidRPr="001F779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письменно в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Рубцовского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Рубцовского 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658256, Алтайский край, Рубцовский район, п. Зеленая Дубрава, ул. Школьная 19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часы работы: понедельник -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пятница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  с 8.00 до 1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6.4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 часов, перерыв на обед:  с 12.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 до 1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часов; выходные дни: суббота, воскресенье.</w:t>
      </w:r>
    </w:p>
    <w:p w:rsidR="009E4BAC" w:rsidRPr="001F779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 общественному обсуждению предлагаются следующий 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Программы профилактики рисков причинения вреда (ущерба) охраняемым законом ценностям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проект Программы профилактики рисков причинения вреда (ущерба) охраняемым законом ценностям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9E4BAC" w:rsidRDefault="009E4BAC" w:rsidP="009E4B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BAC" w:rsidRPr="00A6549C" w:rsidRDefault="009E4BAC" w:rsidP="009E4B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9C">
        <w:rPr>
          <w:rFonts w:ascii="Times New Roman" w:hAnsi="Times New Roman" w:cs="Times New Roman"/>
          <w:sz w:val="28"/>
          <w:szCs w:val="28"/>
        </w:rPr>
        <w:t>Глава Рубцовского сельсовета                                      А.Н. Рева</w:t>
      </w:r>
    </w:p>
    <w:p w:rsidR="009E4BAC" w:rsidRDefault="009E4BAC" w:rsidP="009E4B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BAC" w:rsidRDefault="009E4BAC" w:rsidP="009E4B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4</w:t>
      </w: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Программа разработана в соответствии с: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реализации Программы – 2024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год.</w:t>
      </w:r>
    </w:p>
    <w:p w:rsidR="009E4BAC" w:rsidRPr="00FD692A" w:rsidRDefault="009E4BAC" w:rsidP="009E4BA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3"/>
        <w:gridCol w:w="6731"/>
      </w:tblGrid>
      <w:tr w:rsidR="009E4BAC" w:rsidRPr="00FD692A" w:rsidTr="008A5F39">
        <w:tc>
          <w:tcPr>
            <w:tcW w:w="277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E4BAC" w:rsidRPr="00FD692A" w:rsidTr="008A5F39">
        <w:tc>
          <w:tcPr>
            <w:tcW w:w="277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 сельсовета Рубцовского района Алтайского края</w:t>
            </w:r>
          </w:p>
        </w:tc>
      </w:tr>
      <w:tr w:rsidR="009E4BAC" w:rsidRPr="00FD692A" w:rsidTr="008A5F39">
        <w:tc>
          <w:tcPr>
            <w:tcW w:w="2775" w:type="dxa"/>
            <w:shd w:val="clear" w:color="auto" w:fill="FFFFFF"/>
            <w:vAlign w:val="center"/>
            <w:hideMark/>
          </w:tcPr>
          <w:p w:rsidR="009E4BAC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9E4BAC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утверждении Правил разработки и утверждения контрольными (надзорными) органами программы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профилактики рисков причинения вреда (ущерба) охраняемым законом ценностям»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9E4BAC" w:rsidRPr="00FD692A" w:rsidTr="008A5F39">
        <w:tc>
          <w:tcPr>
            <w:tcW w:w="277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9E4BAC" w:rsidRPr="00FD692A" w:rsidTr="008A5F39">
        <w:tc>
          <w:tcPr>
            <w:tcW w:w="277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9E4BAC" w:rsidRPr="00FD692A" w:rsidTr="008A5F39">
        <w:tc>
          <w:tcPr>
            <w:tcW w:w="277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E4BAC" w:rsidRPr="00FD692A" w:rsidTr="008A5F39">
        <w:tc>
          <w:tcPr>
            <w:tcW w:w="2775" w:type="dxa"/>
            <w:shd w:val="clear" w:color="auto" w:fill="FFFFFF"/>
            <w:vAlign w:val="center"/>
            <w:hideMark/>
          </w:tcPr>
          <w:p w:rsidR="009E4BAC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3. Обеспечение единообразия понимания предмета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физическими лицами, юридическими лицами, индивидуальными предпринимателями.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9E4BAC" w:rsidRPr="00FD692A" w:rsidRDefault="009E4BAC" w:rsidP="008A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9E4BAC" w:rsidRPr="00FD692A" w:rsidRDefault="009E4BAC" w:rsidP="009E4BA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9E4BAC" w:rsidRPr="007E5B44" w:rsidRDefault="009E4BAC" w:rsidP="009E4BA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</w:pPr>
      <w:r w:rsidRPr="007E5B44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9E4BAC" w:rsidRPr="00FD692A" w:rsidRDefault="009E4BAC" w:rsidP="009E4BA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9E4BAC" w:rsidRPr="00FD692A" w:rsidRDefault="009E4BAC" w:rsidP="009E4B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Pr="007B3959">
        <w:rPr>
          <w:rFonts w:ascii="Times New Roman" w:hAnsi="Times New Roman" w:cs="Times New Roman"/>
          <w:sz w:val="28"/>
          <w:szCs w:val="28"/>
        </w:rPr>
        <w:t>Правил благоустройства муниципального образования Рубцовский сельсовет Рубцовского района Алтайского края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9E4BAC" w:rsidRPr="007B3959" w:rsidRDefault="009E4BAC" w:rsidP="009E4B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9E4BAC" w:rsidRPr="007B3959" w:rsidRDefault="009E4BAC" w:rsidP="009E4BAC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7B3959">
        <w:rPr>
          <w:rFonts w:ascii="Times New Roman" w:hAnsi="Times New Roman"/>
          <w:sz w:val="28"/>
          <w:szCs w:val="28"/>
        </w:rPr>
        <w:t>- Решением Рубцовского сельского Собрания депутатов Рубцовского района Алтайского края от 09.11.2022 г. № 23 «Об утверждении Правил благоустройства муниципального образования Рубцовский сельсовет Рубцовского района Алтайского края».</w:t>
      </w:r>
    </w:p>
    <w:p w:rsidR="009E4BAC" w:rsidRPr="007B3959" w:rsidRDefault="009E4BAC" w:rsidP="009E4B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9E4BAC" w:rsidRPr="007B3959" w:rsidRDefault="009E4BAC" w:rsidP="009E4B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9E4BAC" w:rsidRPr="007B3959" w:rsidRDefault="009E4BAC" w:rsidP="009E4BA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4BAC" w:rsidRDefault="009E4BAC" w:rsidP="009E4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9E4BAC" w:rsidRPr="007B3959" w:rsidRDefault="009E4BAC" w:rsidP="009E4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Целями реализации Программы являются:</w:t>
      </w: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4BAC" w:rsidRPr="007B3959" w:rsidRDefault="009E4BAC" w:rsidP="009E4BA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9E4BAC" w:rsidRPr="007B3959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9E4BAC" w:rsidRPr="00FD692A" w:rsidRDefault="009E4BAC" w:rsidP="009E4BA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Самообследование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Контролируемые лица, получившие высокую оценку соблюдения ими обязательных требований, по итогам самообследования,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9E4BAC" w:rsidRPr="00FD692A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Наличие декларации – это один из критериев присвоения репутационного статуса, обозначающего добросовестное соблюдение обязательных требований.</w:t>
      </w:r>
    </w:p>
    <w:p w:rsidR="009E4BAC" w:rsidRPr="00FD692A" w:rsidRDefault="009E4BAC" w:rsidP="009E4BA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9E4BAC" w:rsidRPr="006B276B" w:rsidRDefault="009E4BAC" w:rsidP="009E4BA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Перечень профилактических мероприятий,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                                                     </w:t>
      </w: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сроки (периодичность) их проведения</w:t>
      </w:r>
    </w:p>
    <w:p w:rsidR="009E4BAC" w:rsidRPr="00FD692A" w:rsidRDefault="009E4BAC" w:rsidP="009E4BA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4"/>
        <w:gridCol w:w="2302"/>
        <w:gridCol w:w="2293"/>
      </w:tblGrid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Администрации Рубцовского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hyperlink r:id="rId6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(по мере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7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Программы;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5 дней с даты утверждения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Консультирование (по телефону, посредством видео-конференц-связи, на личном приеме или в ходе проведения профилактического мероприятия, контрольного (надзорного) мероприятия).</w:t>
            </w:r>
          </w:p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Перечень вопросов по которым планируется осуществление консультирования:</w:t>
            </w:r>
          </w:p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кустарников?</w:t>
            </w:r>
          </w:p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доме, земельный участок под которым не образован или образован по границам такого дома) на прилегающей территории покос травы и обрезка поросли?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9E4BAC" w:rsidRPr="00FD692A" w:rsidTr="008A5F39">
        <w:tc>
          <w:tcPr>
            <w:tcW w:w="66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9E4BAC" w:rsidRPr="00FD692A" w:rsidRDefault="009E4BAC" w:rsidP="009E4BA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9E4BAC" w:rsidRPr="006B276B" w:rsidRDefault="009E4BAC" w:rsidP="009E4BAC">
      <w:pPr>
        <w:pStyle w:val="a4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9E4BAC" w:rsidRPr="00FD692A" w:rsidRDefault="009E4BAC" w:rsidP="009E4BA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9E4BAC" w:rsidRPr="00FD692A" w:rsidTr="008A5F39">
        <w:tc>
          <w:tcPr>
            <w:tcW w:w="694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Исполнение показателя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год, %</w:t>
            </w:r>
          </w:p>
        </w:tc>
      </w:tr>
      <w:tr w:rsidR="009E4BAC" w:rsidRPr="00FD692A" w:rsidTr="008A5F39">
        <w:tc>
          <w:tcPr>
            <w:tcW w:w="694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9E4BAC" w:rsidRPr="00FD692A" w:rsidTr="008A5F39">
        <w:tc>
          <w:tcPr>
            <w:tcW w:w="6945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9E4BAC" w:rsidRPr="00FD692A" w:rsidRDefault="009E4BAC" w:rsidP="008A5F3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9E4BAC" w:rsidRPr="00FD692A" w:rsidRDefault="009E4BAC" w:rsidP="009E4BAC">
      <w:pPr>
        <w:rPr>
          <w:rFonts w:ascii="Times New Roman" w:hAnsi="Times New Roman" w:cs="Times New Roman"/>
          <w:sz w:val="28"/>
          <w:szCs w:val="28"/>
        </w:rPr>
      </w:pP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9E4BAC" w:rsidRDefault="009E4BAC" w:rsidP="009E4BAC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E4BAC" w:rsidRDefault="009E4BAC" w:rsidP="009E4BAC"/>
    <w:p w:rsidR="004C30F0" w:rsidRDefault="004C30F0"/>
    <w:sectPr w:rsidR="004C30F0" w:rsidSect="001F77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E4BAC"/>
    <w:rsid w:val="004C30F0"/>
    <w:rsid w:val="009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B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4BAC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9E4BAC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6984&amp;dst=100101&amp;field=134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20.09.2021" TargetMode="External"/><Relationship Id="rId5" Type="http://schemas.openxmlformats.org/officeDocument/2006/relationships/hyperlink" Target="mailto:sekretar_rub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13095</Characters>
  <Application>Microsoft Office Word</Application>
  <DocSecurity>0</DocSecurity>
  <Lines>109</Lines>
  <Paragraphs>30</Paragraphs>
  <ScaleCrop>false</ScaleCrop>
  <Company/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2024-09-09T04:16:00Z</dcterms:created>
  <dcterms:modified xsi:type="dcterms:W3CDTF">2024-09-09T04:16:00Z</dcterms:modified>
</cp:coreProperties>
</file>