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C86177" w:rsidP="00C86177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ПРОЕКТ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АДМИНИСТРАЦИЯ НОВОАЛЕКСАНДРОВСКОГО СЕЛЬСОВЕТА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D67988" w:rsidRDefault="00D67988" w:rsidP="00D67988">
      <w:pPr>
        <w:rPr>
          <w:rFonts w:cs="Calibri"/>
          <w:sz w:val="28"/>
          <w:szCs w:val="28"/>
        </w:rPr>
      </w:pPr>
    </w:p>
    <w:p w:rsidR="00D67988" w:rsidRDefault="00D67988" w:rsidP="00516F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</w:p>
    <w:p w:rsidR="00C42408" w:rsidRPr="00D67988" w:rsidRDefault="00D67988" w:rsidP="00D679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село Новоалександровка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516F30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</w:p>
    <w:p w:rsidR="00D67988" w:rsidRPr="00516F30" w:rsidRDefault="00D6798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Новоалександровского </w:t>
      </w:r>
      <w:r w:rsidR="003A121F" w:rsidRPr="00516F30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516F3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>на 202</w:t>
      </w:r>
      <w:r w:rsidR="00A91E64">
        <w:rPr>
          <w:rFonts w:ascii="Times New Roman" w:hAnsi="Times New Roman"/>
          <w:sz w:val="28"/>
          <w:szCs w:val="28"/>
          <w:lang w:eastAsia="ar-SA"/>
        </w:rPr>
        <w:t>4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Default="00C42408" w:rsidP="00516F30">
      <w:pPr>
        <w:pStyle w:val="ConsPlusTitle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32FED">
        <w:rPr>
          <w:rFonts w:ascii="Times New Roman" w:hAnsi="Times New Roman"/>
          <w:sz w:val="28"/>
          <w:szCs w:val="24"/>
          <w:lang w:eastAsia="ar-SA"/>
        </w:rPr>
        <w:t>, решение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 Новоалександровского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№17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D67988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67988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D67988">
        <w:rPr>
          <w:rFonts w:ascii="Times New Roman" w:hAnsi="Times New Roman"/>
          <w:sz w:val="28"/>
          <w:szCs w:val="24"/>
          <w:lang w:eastAsia="ar-SA"/>
        </w:rPr>
        <w:t>пального образования Новоалександровский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A91E64">
        <w:rPr>
          <w:rFonts w:ascii="Times New Roman" w:hAnsi="Times New Roman"/>
          <w:sz w:val="28"/>
          <w:szCs w:val="24"/>
          <w:lang w:eastAsia="ar-SA"/>
        </w:rPr>
        <w:t>4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r w:rsidR="00A20356" w:rsidRPr="00A20356">
        <w:rPr>
          <w:rFonts w:ascii="Times New Roman" w:hAnsi="Times New Roman"/>
          <w:sz w:val="28"/>
          <w:szCs w:val="24"/>
          <w:lang w:eastAsia="ar-SA"/>
        </w:rPr>
        <w:t>http://www.rubradmin.ru/?q=node/28453</w:t>
      </w:r>
      <w:r w:rsidR="00A20356"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Pr="00E50DA5" w:rsidRDefault="00C42408" w:rsidP="001F6FDC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Default="00C86177" w:rsidP="00D67988">
      <w:pPr>
        <w:suppressAutoHyphens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r w:rsidR="00D67988">
        <w:rPr>
          <w:rFonts w:ascii="Times New Roman" w:hAnsi="Times New Roman"/>
          <w:sz w:val="28"/>
          <w:szCs w:val="28"/>
          <w:lang w:eastAsia="ru-RU"/>
        </w:rPr>
        <w:t xml:space="preserve">  Попова И.Г.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D67988">
        <w:rPr>
          <w:rFonts w:ascii="Times New Roman" w:hAnsi="Times New Roman"/>
          <w:b/>
          <w:color w:val="000000"/>
          <w:sz w:val="28"/>
          <w:szCs w:val="28"/>
        </w:rPr>
        <w:t>ального образования Новоалександровский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025780">
        <w:rPr>
          <w:rFonts w:ascii="Times New Roman" w:hAnsi="Times New Roman"/>
          <w:b/>
          <w:color w:val="000000"/>
          <w:sz w:val="28"/>
          <w:szCs w:val="28"/>
        </w:rPr>
        <w:t>4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7988">
        <w:rPr>
          <w:rFonts w:ascii="Times New Roman" w:hAnsi="Times New Roman"/>
          <w:sz w:val="28"/>
          <w:szCs w:val="24"/>
          <w:lang w:eastAsia="ar-SA"/>
        </w:rPr>
        <w:t>решением 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 17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D679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Новоалександровского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пального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D67988">
        <w:rPr>
          <w:rFonts w:ascii="Times New Roman" w:hAnsi="Times New Roman"/>
          <w:sz w:val="28"/>
          <w:szCs w:val="24"/>
          <w:lang w:eastAsia="ar-SA"/>
        </w:rPr>
        <w:t>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20.09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27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17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 xml:space="preserve">Полнота информации, размещенной на официальном сайте Администрации в соответствии с частью 3 статьи 46 Федерального закона от </w:t>
      </w:r>
      <w:r w:rsidRPr="005A26E6">
        <w:rPr>
          <w:rFonts w:ascii="Times New Roman" w:hAnsi="Times New Roman"/>
          <w:sz w:val="28"/>
          <w:szCs w:val="28"/>
        </w:rPr>
        <w:lastRenderedPageBreak/>
        <w:t>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D67988" w:rsidP="00D6798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специалист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516F30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 Администрации   сельсовета, специалист сельсовета 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секретарем Новоалександровского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r w:rsidR="00D679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) не позднее 30 дней со дня получения указанных сведений. Предостережение оформляется в письменной форме или в форме электронного документа и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FE7" w:rsidRDefault="00361FE7" w:rsidP="0074246E">
      <w:pPr>
        <w:spacing w:after="0" w:line="240" w:lineRule="auto"/>
      </w:pPr>
      <w:r>
        <w:separator/>
      </w:r>
    </w:p>
  </w:endnote>
  <w:endnote w:type="continuationSeparator" w:id="1">
    <w:p w:rsidR="00361FE7" w:rsidRDefault="00361FE7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FE7" w:rsidRDefault="00361FE7" w:rsidP="0074246E">
      <w:pPr>
        <w:spacing w:after="0" w:line="240" w:lineRule="auto"/>
      </w:pPr>
      <w:r>
        <w:separator/>
      </w:r>
    </w:p>
  </w:footnote>
  <w:footnote w:type="continuationSeparator" w:id="1">
    <w:p w:rsidR="00361FE7" w:rsidRDefault="00361FE7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000D7"/>
    <w:rsid w:val="00025780"/>
    <w:rsid w:val="0006525D"/>
    <w:rsid w:val="00077F8C"/>
    <w:rsid w:val="00077F95"/>
    <w:rsid w:val="0008256E"/>
    <w:rsid w:val="001351BF"/>
    <w:rsid w:val="00185F3F"/>
    <w:rsid w:val="00192973"/>
    <w:rsid w:val="001A66E6"/>
    <w:rsid w:val="001B7A57"/>
    <w:rsid w:val="001E42C4"/>
    <w:rsid w:val="001F6FDC"/>
    <w:rsid w:val="00207DF6"/>
    <w:rsid w:val="002947F5"/>
    <w:rsid w:val="002960B6"/>
    <w:rsid w:val="002B7BEB"/>
    <w:rsid w:val="002E235C"/>
    <w:rsid w:val="002E70D2"/>
    <w:rsid w:val="0031334B"/>
    <w:rsid w:val="00317DB6"/>
    <w:rsid w:val="003201C4"/>
    <w:rsid w:val="0033464A"/>
    <w:rsid w:val="00361FE7"/>
    <w:rsid w:val="00380B83"/>
    <w:rsid w:val="003A121F"/>
    <w:rsid w:val="003B4AEF"/>
    <w:rsid w:val="003F1EFA"/>
    <w:rsid w:val="004017D8"/>
    <w:rsid w:val="004261E4"/>
    <w:rsid w:val="00452A2D"/>
    <w:rsid w:val="00456FC2"/>
    <w:rsid w:val="004572E7"/>
    <w:rsid w:val="00466E26"/>
    <w:rsid w:val="00486F79"/>
    <w:rsid w:val="004B0E1B"/>
    <w:rsid w:val="004E2296"/>
    <w:rsid w:val="004F2193"/>
    <w:rsid w:val="00516F30"/>
    <w:rsid w:val="00532FED"/>
    <w:rsid w:val="005601A1"/>
    <w:rsid w:val="00564C6B"/>
    <w:rsid w:val="00586319"/>
    <w:rsid w:val="005A26E6"/>
    <w:rsid w:val="005A6CA8"/>
    <w:rsid w:val="005C2418"/>
    <w:rsid w:val="00605A9F"/>
    <w:rsid w:val="0064451D"/>
    <w:rsid w:val="00675410"/>
    <w:rsid w:val="006A48A5"/>
    <w:rsid w:val="006C3D7B"/>
    <w:rsid w:val="00712407"/>
    <w:rsid w:val="0072637E"/>
    <w:rsid w:val="00731D52"/>
    <w:rsid w:val="00732B94"/>
    <w:rsid w:val="0074246E"/>
    <w:rsid w:val="007572C3"/>
    <w:rsid w:val="007B2CBE"/>
    <w:rsid w:val="007D2426"/>
    <w:rsid w:val="007F0B2D"/>
    <w:rsid w:val="00803AD9"/>
    <w:rsid w:val="00817008"/>
    <w:rsid w:val="00837463"/>
    <w:rsid w:val="00881E40"/>
    <w:rsid w:val="008B5C76"/>
    <w:rsid w:val="00904D60"/>
    <w:rsid w:val="009240E4"/>
    <w:rsid w:val="00932558"/>
    <w:rsid w:val="009521CF"/>
    <w:rsid w:val="009645EC"/>
    <w:rsid w:val="00974AB8"/>
    <w:rsid w:val="00976CFD"/>
    <w:rsid w:val="00A164D1"/>
    <w:rsid w:val="00A20356"/>
    <w:rsid w:val="00A57DB1"/>
    <w:rsid w:val="00A70AE9"/>
    <w:rsid w:val="00A91E64"/>
    <w:rsid w:val="00AD113C"/>
    <w:rsid w:val="00B21EFC"/>
    <w:rsid w:val="00B441FD"/>
    <w:rsid w:val="00B60287"/>
    <w:rsid w:val="00BA4B92"/>
    <w:rsid w:val="00BC2CC4"/>
    <w:rsid w:val="00BC634E"/>
    <w:rsid w:val="00C42408"/>
    <w:rsid w:val="00C55341"/>
    <w:rsid w:val="00C7477C"/>
    <w:rsid w:val="00C86177"/>
    <w:rsid w:val="00CA4620"/>
    <w:rsid w:val="00D6210D"/>
    <w:rsid w:val="00D67988"/>
    <w:rsid w:val="00DC16B0"/>
    <w:rsid w:val="00DF5014"/>
    <w:rsid w:val="00E10607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1DEC-FBF1-4A98-8A1B-28AADAA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User-12</cp:lastModifiedBy>
  <cp:revision>19</cp:revision>
  <cp:lastPrinted>2022-11-01T08:24:00Z</cp:lastPrinted>
  <dcterms:created xsi:type="dcterms:W3CDTF">2022-10-03T12:00:00Z</dcterms:created>
  <dcterms:modified xsi:type="dcterms:W3CDTF">2023-11-27T09:58:00Z</dcterms:modified>
</cp:coreProperties>
</file>