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3000000">
      <w:pPr>
        <w:widowControl w:val="1"/>
        <w:spacing w:after="0" w:line="240" w:lineRule="exact"/>
        <w:ind w:left="4820"/>
        <w:rPr>
          <w:rFonts w:ascii="Times New Roman" w:hAnsi="Times New Roman"/>
          <w:sz w:val="28"/>
        </w:rPr>
      </w:pPr>
    </w:p>
    <w:p w14:paraId="04000000">
      <w:pPr>
        <w:widowControl w:val="1"/>
        <w:spacing w:after="0" w:line="240" w:lineRule="exact"/>
        <w:ind w:left="4820"/>
        <w:rPr>
          <w:rFonts w:ascii="Times New Roman" w:hAnsi="Times New Roman"/>
          <w:sz w:val="28"/>
        </w:rPr>
      </w:pPr>
    </w:p>
    <w:p w14:paraId="05000000">
      <w:pPr>
        <w:widowControl w:val="1"/>
        <w:spacing w:after="0" w:line="240" w:lineRule="exact"/>
        <w:ind/>
        <w:jc w:val="both"/>
        <w:rPr>
          <w:rFonts w:ascii="Times New Roman" w:hAnsi="Times New Roman"/>
          <w:sz w:val="28"/>
        </w:rPr>
      </w:pPr>
    </w:p>
    <w:p w14:paraId="06000000">
      <w:pPr>
        <w:widowControl w:val="1"/>
        <w:spacing w:after="0" w:line="240" w:lineRule="exact"/>
        <w:ind/>
        <w:jc w:val="both"/>
        <w:rPr>
          <w:rFonts w:ascii="Times New Roman" w:hAnsi="Times New Roman"/>
          <w:sz w:val="28"/>
        </w:rPr>
      </w:pPr>
    </w:p>
    <w:p w14:paraId="07000000">
      <w:pPr>
        <w:widowControl w:val="1"/>
        <w:spacing w:after="0" w:line="240" w:lineRule="exact"/>
        <w:ind/>
        <w:jc w:val="both"/>
        <w:rPr>
          <w:rFonts w:ascii="Times New Roman" w:hAnsi="Times New Roman"/>
          <w:sz w:val="28"/>
        </w:rPr>
      </w:pPr>
    </w:p>
    <w:p w14:paraId="08000000">
      <w:pPr>
        <w:widowControl w:val="1"/>
        <w:spacing w:after="0" w:line="240" w:lineRule="exact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Рубцовский</w:t>
      </w:r>
      <w:r>
        <w:rPr>
          <w:rFonts w:ascii="Times New Roman" w:hAnsi="Times New Roman"/>
          <w:sz w:val="28"/>
        </w:rPr>
        <w:t xml:space="preserve"> транспортный прокурор разъясняет </w:t>
      </w:r>
    </w:p>
    <w:p w14:paraId="09000000">
      <w:pPr>
        <w:widowControl w:val="1"/>
        <w:spacing w:after="0" w:line="240" w:lineRule="exact"/>
        <w:ind/>
        <w:jc w:val="both"/>
        <w:rPr>
          <w:rFonts w:ascii="Times New Roman" w:hAnsi="Times New Roman"/>
          <w:sz w:val="28"/>
        </w:rPr>
      </w:pPr>
    </w:p>
    <w:p w14:paraId="0A000000">
      <w:pPr>
        <w:widowControl w:val="1"/>
        <w:spacing w:after="0" w:line="240" w:lineRule="exact"/>
        <w:ind/>
        <w:jc w:val="both"/>
        <w:rPr>
          <w:rFonts w:ascii="Times New Roman" w:hAnsi="Times New Roman"/>
          <w:sz w:val="28"/>
        </w:rPr>
      </w:pPr>
    </w:p>
    <w:p w14:paraId="0B000000">
      <w:pPr>
        <w:widowControl w:val="1"/>
        <w:spacing w:after="0" w:line="240" w:lineRule="exact"/>
        <w:ind w:right="41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 правилах перевозке грузов на железнодорожном транспорте</w:t>
      </w:r>
    </w:p>
    <w:p w14:paraId="0C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0D000000">
      <w:pPr>
        <w:widowControl w:val="1"/>
        <w:spacing w:after="0" w:before="0" w:line="240" w:lineRule="auto"/>
        <w:ind w:firstLine="709"/>
        <w:jc w:val="both"/>
        <w:rPr>
          <w:rFonts w:ascii="Times New Roman" w:hAnsi="Times New Roman"/>
          <w:sz w:val="27"/>
        </w:rPr>
      </w:pPr>
      <w:r>
        <w:rPr>
          <w:rFonts w:ascii="Times New Roman" w:hAnsi="Times New Roman"/>
          <w:b w:val="0"/>
          <w:i w:val="0"/>
          <w:caps w:val="0"/>
          <w:smallCaps w:val="0"/>
          <w:color w:val="2C2D2E"/>
          <w:sz w:val="27"/>
        </w:rPr>
        <w:t>Приказом Минтранса России от 17.07.2025 № 216 утверждены Правила перевозок грузов, порожних грузовых вагонов железнодорожным транспортом.</w:t>
      </w:r>
    </w:p>
    <w:p w14:paraId="0E000000">
      <w:pPr>
        <w:widowControl w:val="1"/>
        <w:spacing w:after="0" w:before="0" w:line="240" w:lineRule="auto"/>
        <w:ind w:firstLine="709"/>
        <w:jc w:val="both"/>
        <w:rPr>
          <w:rFonts w:ascii="Times New Roman" w:hAnsi="Times New Roman"/>
          <w:b w:val="0"/>
          <w:i w:val="0"/>
          <w:caps w:val="0"/>
          <w:smallCaps w:val="0"/>
          <w:color w:val="2C2D2E"/>
          <w:sz w:val="27"/>
        </w:rPr>
      </w:pPr>
      <w:r>
        <w:rPr>
          <w:rFonts w:ascii="Times New Roman" w:hAnsi="Times New Roman"/>
          <w:b w:val="0"/>
          <w:i w:val="0"/>
          <w:caps w:val="0"/>
          <w:smallCaps w:val="0"/>
          <w:color w:val="2C2D2E"/>
          <w:sz w:val="27"/>
        </w:rPr>
        <w:t>Так, Правила устанавливают порядок оформления и представления заявки на перевозку грузов железнодорожным транспортом грузоотправителями, организациями, осуществляющими перевалку грузов с водного транспорта на железнодорожный транспорт, перевозчикам, а также порядок оформления и взыскания перевозчиком штрафов, предусмотренных Уставом, с грузоотправителей, грузополучателей, владельцев железнодорожных путей необщего пользования, операторов морских терминалов при перевозках грузов, порожних грузовых вагонов железнодорожным транспортом.</w:t>
      </w:r>
    </w:p>
    <w:p w14:paraId="0F000000">
      <w:pPr>
        <w:widowControl w:val="1"/>
        <w:spacing w:after="0" w:before="0" w:line="240" w:lineRule="auto"/>
        <w:ind w:firstLine="709"/>
        <w:jc w:val="both"/>
        <w:rPr>
          <w:rFonts w:ascii="Times New Roman" w:hAnsi="Times New Roman"/>
          <w:b w:val="0"/>
          <w:i w:val="0"/>
          <w:caps w:val="0"/>
          <w:smallCaps w:val="0"/>
          <w:color w:val="2C2D2E"/>
          <w:sz w:val="27"/>
        </w:rPr>
      </w:pPr>
      <w:r>
        <w:rPr>
          <w:rFonts w:ascii="Times New Roman" w:hAnsi="Times New Roman"/>
          <w:b w:val="0"/>
          <w:i w:val="0"/>
          <w:caps w:val="0"/>
          <w:smallCaps w:val="0"/>
          <w:color w:val="2C2D2E"/>
          <w:sz w:val="27"/>
        </w:rPr>
        <w:t>Перевозка грузов, в том числе на основании долгосрочных договоров об организации перевозок, осуществляется на основании принятых перевозчиком заявок.</w:t>
      </w:r>
    </w:p>
    <w:p w14:paraId="10000000">
      <w:pPr>
        <w:widowControl w:val="1"/>
        <w:spacing w:after="0" w:before="0" w:line="240" w:lineRule="auto"/>
        <w:ind w:firstLine="709"/>
        <w:jc w:val="both"/>
        <w:rPr>
          <w:rFonts w:ascii="Times New Roman" w:hAnsi="Times New Roman"/>
          <w:b w:val="0"/>
          <w:i w:val="0"/>
          <w:caps w:val="0"/>
          <w:smallCaps w:val="0"/>
          <w:color w:val="2C2D2E"/>
          <w:sz w:val="27"/>
        </w:rPr>
      </w:pPr>
      <w:r>
        <w:rPr>
          <w:rFonts w:ascii="Times New Roman" w:hAnsi="Times New Roman"/>
          <w:b w:val="0"/>
          <w:i w:val="0"/>
          <w:caps w:val="0"/>
          <w:smallCaps w:val="0"/>
          <w:color w:val="2C2D2E"/>
          <w:sz w:val="27"/>
        </w:rPr>
        <w:t>Грузоотправители для осуществления перевозки грузов, организации, осуществляющие перевалку грузов, для осуществления перевозки грузов в прямом смешанном водно-железнодорожном сообщении должны оформлять заявку по форме согласно приложению к данным Правилам.</w:t>
      </w:r>
    </w:p>
    <w:p w14:paraId="11000000">
      <w:pPr>
        <w:widowControl w:val="1"/>
        <w:spacing w:after="0" w:before="0" w:line="240" w:lineRule="auto"/>
        <w:ind w:firstLine="709"/>
        <w:jc w:val="both"/>
        <w:rPr>
          <w:rFonts w:ascii="Times New Roman" w:hAnsi="Times New Roman"/>
          <w:b w:val="0"/>
          <w:i w:val="0"/>
          <w:caps w:val="0"/>
          <w:smallCaps w:val="0"/>
          <w:color w:val="2C2D2E"/>
          <w:sz w:val="27"/>
        </w:rPr>
      </w:pPr>
      <w:r>
        <w:rPr>
          <w:rFonts w:ascii="Times New Roman" w:hAnsi="Times New Roman"/>
          <w:b w:val="0"/>
          <w:i w:val="0"/>
          <w:caps w:val="0"/>
          <w:smallCaps w:val="0"/>
          <w:color w:val="2C2D2E"/>
          <w:sz w:val="27"/>
        </w:rPr>
        <w:t>Документами, подтверждающими основания для взыскания перевозчиком с грузоотправителей, грузополучателей, отправителей, получателей, операторов морских терминалов и иных участников перевозочного процесса штрафов, предусмотренных Уставом, являются транспортная железнодорожная накладная, памятка приемосдатчика, приемо-сдаточный акт, учетная карточка, акт общей формы, коммерческий акт, учетная ведомость.</w:t>
      </w:r>
    </w:p>
    <w:p w14:paraId="12000000">
      <w:pPr>
        <w:widowControl w:val="1"/>
        <w:spacing w:after="0" w:before="0" w:line="240" w:lineRule="auto"/>
        <w:ind w:firstLine="709"/>
        <w:jc w:val="both"/>
        <w:rPr>
          <w:rFonts w:ascii="Times New Roman" w:hAnsi="Times New Roman"/>
          <w:sz w:val="27"/>
        </w:rPr>
      </w:pPr>
    </w:p>
    <w:p w14:paraId="13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</w:rPr>
      </w:pPr>
    </w:p>
    <w:p w14:paraId="14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</w:rPr>
      </w:pPr>
    </w:p>
    <w:p w14:paraId="15000000">
      <w:pPr>
        <w:widowControl w:val="1"/>
        <w:spacing w:after="0" w:line="240" w:lineRule="exact"/>
        <w:ind/>
        <w:jc w:val="both"/>
        <w:rPr>
          <w:rFonts w:ascii="Times New Roman" w:hAnsi="Times New Roman"/>
          <w:sz w:val="28"/>
        </w:rPr>
      </w:pPr>
    </w:p>
    <w:sectPr>
      <w:headerReference r:id="rId1" w:type="default"/>
      <w:pgSz w:h="16838" w:orient="portrait" w:w="11906"/>
      <w:pgMar w:bottom="709" w:footer="708" w:gutter="0" w:header="708" w:left="1418" w:right="567" w:top="709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1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2000000">
    <w:pPr>
      <w:pStyle w:val="Style_1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200" w:before="0" w:line="276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3" w:type="paragraph">
    <w:name w:val="toc 2"/>
    <w:next w:val="Style_2"/>
    <w:link w:val="Style_3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ConsPlusTitle"/>
    <w:link w:val="Style_7_ch"/>
    <w:pPr>
      <w:widowControl w:val="0"/>
      <w:spacing w:after="0" w:line="240" w:lineRule="auto"/>
      <w:ind/>
    </w:pPr>
    <w:rPr>
      <w:rFonts w:ascii="Times New Roman" w:hAnsi="Times New Roman"/>
      <w:b w:val="1"/>
      <w:sz w:val="24"/>
    </w:rPr>
  </w:style>
  <w:style w:styleId="Style_7_ch" w:type="character">
    <w:name w:val="ConsPlusTitle"/>
    <w:link w:val="Style_7"/>
    <w:rPr>
      <w:rFonts w:ascii="Times New Roman" w:hAnsi="Times New Roman"/>
      <w:b w:val="1"/>
      <w:sz w:val="24"/>
    </w:rPr>
  </w:style>
  <w:style w:styleId="Style_8" w:type="paragraph">
    <w:name w:val="Balloon Text"/>
    <w:basedOn w:val="Style_2"/>
    <w:link w:val="Style_8_ch"/>
    <w:pPr>
      <w:widowControl w:val="1"/>
      <w:spacing w:after="0" w:line="240" w:lineRule="auto"/>
      <w:ind/>
    </w:pPr>
    <w:rPr>
      <w:rFonts w:ascii="Segoe UI" w:hAnsi="Segoe UI"/>
      <w:sz w:val="18"/>
    </w:rPr>
  </w:style>
  <w:style w:styleId="Style_8_ch" w:type="character">
    <w:name w:val="Balloon Text"/>
    <w:basedOn w:val="Style_2_ch"/>
    <w:link w:val="Style_8"/>
    <w:rPr>
      <w:rFonts w:ascii="Segoe UI" w:hAnsi="Segoe UI"/>
      <w:sz w:val="18"/>
    </w:rPr>
  </w:style>
  <w:style w:styleId="Style_9" w:type="paragraph">
    <w:name w:val="Endnote"/>
    <w:link w:val="Style_9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9_ch" w:type="character">
    <w:name w:val="Endnote"/>
    <w:link w:val="Style_9"/>
    <w:rPr>
      <w:rFonts w:ascii="XO Thames" w:hAnsi="XO Thames"/>
      <w:sz w:val="22"/>
    </w:rPr>
  </w:style>
  <w:style w:styleId="Style_10" w:type="paragraph">
    <w:name w:val="heading 3"/>
    <w:next w:val="Style_2"/>
    <w:link w:val="Style_10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0_ch" w:type="character">
    <w:name w:val="heading 3"/>
    <w:link w:val="Style_10"/>
    <w:rPr>
      <w:rFonts w:ascii="XO Thames" w:hAnsi="XO Thames"/>
      <w:b w:val="1"/>
      <w:sz w:val="26"/>
    </w:rPr>
  </w:style>
  <w:style w:styleId="Style_11" w:type="paragraph">
    <w:name w:val="Default Paragraph Font"/>
    <w:link w:val="Style_11_ch"/>
  </w:style>
  <w:style w:styleId="Style_11_ch" w:type="character">
    <w:name w:val="Default Paragraph Font"/>
    <w:link w:val="Style_11"/>
  </w:style>
  <w:style w:styleId="Style_12" w:type="paragraph">
    <w:name w:val="Normal (Web)"/>
    <w:basedOn w:val="Style_2"/>
    <w:link w:val="Style_12_ch"/>
    <w:pPr>
      <w:widowControl w:val="1"/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12_ch" w:type="character">
    <w:name w:val="Normal (Web)"/>
    <w:basedOn w:val="Style_2_ch"/>
    <w:link w:val="Style_12"/>
    <w:rPr>
      <w:rFonts w:ascii="Times New Roman" w:hAnsi="Times New Roman"/>
      <w:sz w:val="24"/>
    </w:rPr>
  </w:style>
  <w:style w:styleId="Style_13" w:type="paragraph">
    <w:name w:val="toc 3"/>
    <w:next w:val="Style_2"/>
    <w:link w:val="Style_13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3_ch" w:type="character">
    <w:name w:val="toc 3"/>
    <w:link w:val="Style_13"/>
    <w:rPr>
      <w:rFonts w:ascii="XO Thames" w:hAnsi="XO Thames"/>
      <w:sz w:val="28"/>
    </w:rPr>
  </w:style>
  <w:style w:styleId="Style_14" w:type="paragraph">
    <w:name w:val="Body Text 2"/>
    <w:basedOn w:val="Style_2"/>
    <w:link w:val="Style_14_ch"/>
    <w:pPr>
      <w:widowControl w:val="1"/>
      <w:spacing w:after="120" w:line="480" w:lineRule="auto"/>
      <w:ind/>
    </w:pPr>
    <w:rPr>
      <w:rFonts w:ascii="Times New Roman" w:hAnsi="Times New Roman"/>
      <w:sz w:val="24"/>
    </w:rPr>
  </w:style>
  <w:style w:styleId="Style_14_ch" w:type="character">
    <w:name w:val="Body Text 2"/>
    <w:basedOn w:val="Style_2_ch"/>
    <w:link w:val="Style_14"/>
    <w:rPr>
      <w:rFonts w:ascii="Times New Roman" w:hAnsi="Times New Roman"/>
      <w:sz w:val="24"/>
    </w:rPr>
  </w:style>
  <w:style w:styleId="Style_15" w:type="paragraph">
    <w:name w:val="heading 5"/>
    <w:next w:val="Style_2"/>
    <w:link w:val="Style_15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5_ch" w:type="character">
    <w:name w:val="heading 5"/>
    <w:link w:val="Style_15"/>
    <w:rPr>
      <w:rFonts w:ascii="XO Thames" w:hAnsi="XO Thames"/>
      <w:b w:val="1"/>
      <w:sz w:val="22"/>
    </w:rPr>
  </w:style>
  <w:style w:styleId="Style_16" w:type="paragraph">
    <w:name w:val="heading 1"/>
    <w:next w:val="Style_2"/>
    <w:link w:val="Style_16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6_ch" w:type="character">
    <w:name w:val="heading 1"/>
    <w:link w:val="Style_16"/>
    <w:rPr>
      <w:rFonts w:ascii="XO Thames" w:hAnsi="XO Thames"/>
      <w:b w:val="1"/>
      <w:sz w:val="32"/>
    </w:rPr>
  </w:style>
  <w:style w:styleId="Style_17" w:type="paragraph">
    <w:name w:val="Hyperlink"/>
    <w:basedOn w:val="Style_11"/>
    <w:link w:val="Style_17_ch"/>
    <w:rPr>
      <w:color w:val="0000FF"/>
      <w:u w:val="single"/>
    </w:rPr>
  </w:style>
  <w:style w:styleId="Style_17_ch" w:type="character">
    <w:name w:val="Hyperlink"/>
    <w:basedOn w:val="Style_11_ch"/>
    <w:link w:val="Style_17"/>
    <w:rPr>
      <w:color w:val="0000FF"/>
      <w:u w:val="single"/>
    </w:rPr>
  </w:style>
  <w:style w:styleId="Style_18" w:type="paragraph">
    <w:name w:val="Footnote"/>
    <w:link w:val="Style_18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8_ch" w:type="character">
    <w:name w:val="Footnote"/>
    <w:link w:val="Style_18"/>
    <w:rPr>
      <w:rFonts w:ascii="XO Thames" w:hAnsi="XO Thames"/>
      <w:sz w:val="22"/>
    </w:rPr>
  </w:style>
  <w:style w:styleId="Style_19" w:type="paragraph">
    <w:name w:val="footer"/>
    <w:basedOn w:val="Style_2"/>
    <w:link w:val="Style_19_ch"/>
    <w:pPr>
      <w:widowControl w:val="1"/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9_ch" w:type="character">
    <w:name w:val="footer"/>
    <w:basedOn w:val="Style_2_ch"/>
    <w:link w:val="Style_19"/>
  </w:style>
  <w:style w:styleId="Style_20" w:type="paragraph">
    <w:name w:val="toc 1"/>
    <w:next w:val="Style_2"/>
    <w:link w:val="Style_20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20_ch" w:type="character">
    <w:name w:val="toc 1"/>
    <w:link w:val="Style_20"/>
    <w:rPr>
      <w:rFonts w:ascii="XO Thames" w:hAnsi="XO Thames"/>
      <w:b w:val="1"/>
      <w:sz w:val="28"/>
    </w:rPr>
  </w:style>
  <w:style w:styleId="Style_21" w:type="paragraph">
    <w:name w:val="List Paragraph"/>
    <w:basedOn w:val="Style_2"/>
    <w:link w:val="Style_21_ch"/>
    <w:pPr>
      <w:widowControl w:val="1"/>
      <w:spacing w:after="0" w:line="240" w:lineRule="auto"/>
      <w:ind w:left="720"/>
      <w:contextualSpacing w:val="1"/>
    </w:pPr>
    <w:rPr>
      <w:rFonts w:ascii="Times New Roman" w:hAnsi="Times New Roman"/>
      <w:sz w:val="24"/>
    </w:rPr>
  </w:style>
  <w:style w:styleId="Style_21_ch" w:type="character">
    <w:name w:val="List Paragraph"/>
    <w:basedOn w:val="Style_2_ch"/>
    <w:link w:val="Style_21"/>
    <w:rPr>
      <w:rFonts w:ascii="Times New Roman" w:hAnsi="Times New Roman"/>
      <w:sz w:val="24"/>
    </w:rPr>
  </w:style>
  <w:style w:styleId="Style_22" w:type="paragraph">
    <w:name w:val="Header and Footer"/>
    <w:link w:val="Style_22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22_ch" w:type="character">
    <w:name w:val="Header and Footer"/>
    <w:link w:val="Style_22"/>
    <w:rPr>
      <w:rFonts w:ascii="XO Thames" w:hAnsi="XO Thames"/>
      <w:sz w:val="28"/>
    </w:rPr>
  </w:style>
  <w:style w:styleId="Style_23" w:type="paragraph">
    <w:name w:val="Body Text Indent 3"/>
    <w:basedOn w:val="Style_2"/>
    <w:link w:val="Style_23_ch"/>
    <w:pPr>
      <w:widowControl w:val="1"/>
      <w:spacing w:after="120" w:line="240" w:lineRule="auto"/>
      <w:ind w:left="283"/>
    </w:pPr>
    <w:rPr>
      <w:rFonts w:ascii="Times New Roman" w:hAnsi="Times New Roman"/>
      <w:sz w:val="16"/>
    </w:rPr>
  </w:style>
  <w:style w:styleId="Style_23_ch" w:type="character">
    <w:name w:val="Body Text Indent 3"/>
    <w:basedOn w:val="Style_2_ch"/>
    <w:link w:val="Style_23"/>
    <w:rPr>
      <w:rFonts w:ascii="Times New Roman" w:hAnsi="Times New Roman"/>
      <w:sz w:val="16"/>
    </w:rPr>
  </w:style>
  <w:style w:styleId="Style_24" w:type="paragraph">
    <w:name w:val="toc 9"/>
    <w:next w:val="Style_2"/>
    <w:link w:val="Style_24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24_ch" w:type="character">
    <w:name w:val="toc 9"/>
    <w:link w:val="Style_24"/>
    <w:rPr>
      <w:rFonts w:ascii="XO Thames" w:hAnsi="XO Thames"/>
      <w:sz w:val="28"/>
    </w:rPr>
  </w:style>
  <w:style w:styleId="Style_25" w:type="paragraph">
    <w:name w:val="toc 8"/>
    <w:next w:val="Style_2"/>
    <w:link w:val="Style_25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25_ch" w:type="character">
    <w:name w:val="toc 8"/>
    <w:link w:val="Style_25"/>
    <w:rPr>
      <w:rFonts w:ascii="XO Thames" w:hAnsi="XO Thames"/>
      <w:sz w:val="28"/>
    </w:rPr>
  </w:style>
  <w:style w:styleId="Style_1" w:type="paragraph">
    <w:name w:val="header"/>
    <w:basedOn w:val="Style_2"/>
    <w:link w:val="Style_1_ch"/>
    <w:pPr>
      <w:widowControl w:val="1"/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_ch" w:type="character">
    <w:name w:val="header"/>
    <w:basedOn w:val="Style_2_ch"/>
    <w:link w:val="Style_1"/>
  </w:style>
  <w:style w:styleId="Style_26" w:type="paragraph">
    <w:name w:val="Основной текст (2)1"/>
    <w:basedOn w:val="Style_2"/>
    <w:link w:val="Style_26_ch"/>
    <w:pPr>
      <w:widowControl w:val="0"/>
      <w:spacing w:after="0" w:before="240" w:line="240" w:lineRule="atLeast"/>
      <w:ind w:hanging="260"/>
    </w:pPr>
    <w:rPr>
      <w:sz w:val="19"/>
    </w:rPr>
  </w:style>
  <w:style w:styleId="Style_26_ch" w:type="character">
    <w:name w:val="Основной текст (2)1"/>
    <w:basedOn w:val="Style_2_ch"/>
    <w:link w:val="Style_26"/>
    <w:rPr>
      <w:sz w:val="19"/>
    </w:rPr>
  </w:style>
  <w:style w:styleId="Style_27" w:type="paragraph">
    <w:name w:val="toc 5"/>
    <w:next w:val="Style_2"/>
    <w:link w:val="Style_27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27_ch" w:type="character">
    <w:name w:val="toc 5"/>
    <w:link w:val="Style_27"/>
    <w:rPr>
      <w:rFonts w:ascii="XO Thames" w:hAnsi="XO Thames"/>
      <w:sz w:val="28"/>
    </w:rPr>
  </w:style>
  <w:style w:styleId="Style_28" w:type="paragraph">
    <w:name w:val="msonormalcxsplast"/>
    <w:basedOn w:val="Style_2"/>
    <w:link w:val="Style_28_ch"/>
    <w:pPr>
      <w:widowControl w:val="1"/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28_ch" w:type="character">
    <w:name w:val="msonormalcxsplast"/>
    <w:basedOn w:val="Style_2_ch"/>
    <w:link w:val="Style_28"/>
    <w:rPr>
      <w:rFonts w:ascii="Times New Roman" w:hAnsi="Times New Roman"/>
      <w:sz w:val="24"/>
    </w:rPr>
  </w:style>
  <w:style w:styleId="Style_29" w:type="paragraph">
    <w:name w:val="Body Text"/>
    <w:basedOn w:val="Style_2"/>
    <w:link w:val="Style_29_ch"/>
    <w:pPr>
      <w:widowControl w:val="1"/>
      <w:spacing w:after="120"/>
      <w:ind/>
    </w:pPr>
  </w:style>
  <w:style w:styleId="Style_29_ch" w:type="character">
    <w:name w:val="Body Text"/>
    <w:basedOn w:val="Style_2_ch"/>
    <w:link w:val="Style_29"/>
  </w:style>
  <w:style w:styleId="Style_30" w:type="paragraph">
    <w:name w:val="Subtitle"/>
    <w:next w:val="Style_2"/>
    <w:link w:val="Style_30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30_ch" w:type="character">
    <w:name w:val="Subtitle"/>
    <w:link w:val="Style_30"/>
    <w:rPr>
      <w:rFonts w:ascii="XO Thames" w:hAnsi="XO Thames"/>
      <w:i w:val="1"/>
      <w:sz w:val="24"/>
    </w:rPr>
  </w:style>
  <w:style w:styleId="Style_31" w:type="paragraph">
    <w:name w:val="Title"/>
    <w:next w:val="Style_2"/>
    <w:link w:val="Style_31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1_ch" w:type="character">
    <w:name w:val="Title"/>
    <w:link w:val="Style_31"/>
    <w:rPr>
      <w:rFonts w:ascii="XO Thames" w:hAnsi="XO Thames"/>
      <w:b w:val="1"/>
      <w:caps w:val="1"/>
      <w:sz w:val="40"/>
    </w:rPr>
  </w:style>
  <w:style w:styleId="Style_32" w:type="paragraph">
    <w:name w:val="heading 4"/>
    <w:next w:val="Style_2"/>
    <w:link w:val="Style_32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2_ch" w:type="character">
    <w:name w:val="heading 4"/>
    <w:link w:val="Style_32"/>
    <w:rPr>
      <w:rFonts w:ascii="XO Thames" w:hAnsi="XO Thames"/>
      <w:b w:val="1"/>
      <w:sz w:val="24"/>
    </w:rPr>
  </w:style>
  <w:style w:styleId="Style_33" w:type="paragraph">
    <w:name w:val="heading 2"/>
    <w:next w:val="Style_2"/>
    <w:link w:val="Style_33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3_ch" w:type="character">
    <w:name w:val="heading 2"/>
    <w:link w:val="Style_33"/>
    <w:rPr>
      <w:rFonts w:ascii="XO Thames" w:hAnsi="XO Thames"/>
      <w:b w:val="1"/>
      <w:sz w:val="28"/>
    </w:rPr>
  </w:style>
  <w:style w:default="1" w:styleId="Style_3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webSettings.xml" Type="http://schemas.openxmlformats.org/officeDocument/2006/relationships/webSettings"/>
  <Relationship Id="rId1" Target="header1.xml" Type="http://schemas.openxmlformats.org/officeDocument/2006/relationships/header"/>
  <Relationship Id="rId2" Target="fontTable.xml" Type="http://schemas.openxmlformats.org/officeDocument/2006/relationships/fontTable"/>
  <Relationship Id="rId3" Target="settings.xml" Type="http://schemas.openxmlformats.org/officeDocument/2006/relationships/settings"/>
  <Relationship Id="rId4" Target="styles.xml" Type="http://schemas.openxmlformats.org/officeDocument/2006/relationships/styles"/>
  <Relationship Id="rId7" Target="theme/theme1.xml" Type="http://schemas.openxmlformats.org/officeDocument/2006/relationships/theme"/>
  <Relationship Id="rId5" Target="stylesWithEffects.xml" Type="http://schemas.microsoft.com/office/2007/relationships/stylesWithEffect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2022-12-14T09:24:00Z</dcterms:created>
  <dcterms:modified xsi:type="dcterms:W3CDTF">2026-11-03T04:22:02Z</dcterms:modified>
</cp:coreProperties>
</file>